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2433"/>
          <w:sz w:val="44"/>
          <w:szCs w:val="44"/>
        </w:rPr>
        <w:t xml:space="preserve">Data processing agreement</w:t>
      </w:r>
    </w:p>
    <w:p>
      <w:pPr>
        <w:pBdr>
          <w:bottom w:val="single" w:color="1B63D6" w:sz="12" w:space="8"/>
        </w:pBdr>
        <w:spacing w:after="300"/>
      </w:pPr>
      <w:r>
        <w:rPr>
          <w:color w:val="5B6B80"/>
          <w:sz w:val="22"/>
          <w:szCs w:val="22"/>
        </w:rPr>
        <w:t xml:space="preserve">Between MG12 Design (processor) and the organisation named below (controller), for the Syntalyze service</w:t>
      </w:r>
    </w:p>
    <w:p>
      <w:pPr>
        <w:pStyle w:val="Heading2"/>
        <w:keepNext/>
      </w:pPr>
      <w:r>
        <w:t xml:space="preserve">Parties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3"/>
        <w:gridCol w:w="6425"/>
      </w:tblGrid>
      <w:tr>
        <w:trPr>
          <w:cantSplit/>
        </w:trPr>
        <w:tc>
          <w:tcPr>
            <w:tcW w:type="dxa" w:w="321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Processor</w:t>
            </w:r>
          </w:p>
        </w:tc>
        <w:tc>
          <w:tcPr>
            <w:tcW w:type="dxa" w:w="642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MG12 Design, 30 Parrys Lane, Bristol, BS9 1AA ("we", "us"), the provider of Syntalyze.</w:t>
            </w:r>
          </w:p>
        </w:tc>
      </w:tr>
      <w:tr>
        <w:trPr>
          <w:cantSplit/>
        </w:trPr>
        <w:tc>
          <w:tcPr>
            <w:tcW w:type="dxa" w:w="321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Controller</w:t>
            </w:r>
          </w:p>
        </w:tc>
        <w:tc>
          <w:tcPr>
            <w:tcW w:type="dxa" w:w="642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Organisation name, address and registration number: ____________________________ ("you").</w:t>
            </w:r>
          </w:p>
        </w:tc>
      </w:tr>
      <w:tr>
        <w:trPr>
          <w:cantSplit/>
        </w:trPr>
        <w:tc>
          <w:tcPr>
            <w:tcW w:type="dxa" w:w="3213"/>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Main agreement</w:t>
            </w:r>
          </w:p>
        </w:tc>
        <w:tc>
          <w:tcPr>
            <w:tcW w:type="dxa" w:w="642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The order form, subscription or contract under which you use Syntalyze: ____________________________ (the "Main Agreement").</w:t>
            </w:r>
          </w:p>
        </w:tc>
      </w:tr>
    </w:tbl>
    <w:p>
      <w:pPr>
        <w:spacing w:after="120"/>
      </w:pPr>
    </w:p>
    <w:p>
      <w:pPr>
        <w:spacing w:after="140"/>
      </w:pPr>
      <w:r>
        <w:t xml:space="preserve">This agreement forms part of the Main Agreement and applies whenever we process personal data on your behalf in providing Syntalyze. If it conflicts with the Main Agreement on data protection, this agreement wins.</w:t>
      </w:r>
    </w:p>
    <w:p>
      <w:pPr>
        <w:pStyle w:val="Heading2"/>
        <w:keepNext/>
      </w:pPr>
      <w:r>
        <w:t xml:space="preserve">1. Definitions</w:t>
      </w:r>
    </w:p>
    <w:p>
      <w:pPr>
        <w:spacing w:after="140"/>
      </w:pPr>
      <w:r>
        <w:t xml:space="preserve">"</w:t>
      </w:r>
      <w:r>
        <w:rPr>
          <w:b/>
          <w:bCs/>
        </w:rPr>
        <w:t xml:space="preserve">Data Protection Law</w:t>
      </w:r>
      <w:r>
        <w:t xml:space="preserve">" means the UK GDPR, the Data Protection Act 2018 and any law that amends or replaces them, and, where it applies to you, any other data protection law named in the Main Agreement. "</w:t>
      </w:r>
      <w:r>
        <w:rPr>
          <w:b/>
          <w:bCs/>
        </w:rPr>
        <w:t xml:space="preserve">Personal Data</w:t>
      </w:r>
      <w:r>
        <w:t xml:space="preserve">", "</w:t>
      </w:r>
      <w:r>
        <w:rPr>
          <w:b/>
          <w:bCs/>
        </w:rPr>
        <w:t xml:space="preserve">Controller</w:t>
      </w:r>
      <w:r>
        <w:t xml:space="preserve">", "</w:t>
      </w:r>
      <w:r>
        <w:rPr>
          <w:b/>
          <w:bCs/>
        </w:rPr>
        <w:t xml:space="preserve">Processor</w:t>
      </w:r>
      <w:r>
        <w:t xml:space="preserve">", "</w:t>
      </w:r>
      <w:r>
        <w:rPr>
          <w:b/>
          <w:bCs/>
        </w:rPr>
        <w:t xml:space="preserve">Data Subject</w:t>
      </w:r>
      <w:r>
        <w:t xml:space="preserve">", "</w:t>
      </w:r>
      <w:r>
        <w:rPr>
          <w:b/>
          <w:bCs/>
        </w:rPr>
        <w:t xml:space="preserve">Personal Data Breach</w:t>
      </w:r>
      <w:r>
        <w:t xml:space="preserve">" and "</w:t>
      </w:r>
      <w:r>
        <w:rPr>
          <w:b/>
          <w:bCs/>
        </w:rPr>
        <w:t xml:space="preserve">processing</w:t>
      </w:r>
      <w:r>
        <w:t xml:space="preserve">" have the meanings given in the UK GDPR. "</w:t>
      </w:r>
      <w:r>
        <w:rPr>
          <w:b/>
          <w:bCs/>
        </w:rPr>
        <w:t xml:space="preserve">Service Data</w:t>
      </w:r>
      <w:r>
        <w:t xml:space="preserve">" means the Personal Data we process for you under the Main Agreement. "</w:t>
      </w:r>
      <w:r>
        <w:rPr>
          <w:b/>
          <w:bCs/>
        </w:rPr>
        <w:t xml:space="preserve">Sub-processor</w:t>
      </w:r>
      <w:r>
        <w:t xml:space="preserve">" means a third party we engage to process Service Data.</w:t>
      </w:r>
    </w:p>
    <w:p>
      <w:pPr>
        <w:pStyle w:val="Heading2"/>
        <w:keepNext/>
      </w:pPr>
      <w:r>
        <w:t xml:space="preserve">2. Roles and instructions</w:t>
      </w:r>
    </w:p>
    <w:p>
      <w:pPr>
        <w:pStyle w:val="ListParagraph"/>
        <w:numPr>
          <w:ilvl w:val="0"/>
          <w:numId w:val="2"/>
        </w:numPr>
        <w:spacing w:after="70"/>
      </w:pPr>
      <w:r>
        <w:t xml:space="preserve">You are the controller of Service Data and we are your processor. Schedule 1 sets out the subject matter, duration, nature and purpose of the processing, the types of Personal Data and the categories of Data Subjects.</w:t>
      </w:r>
    </w:p>
    <w:p>
      <w:pPr>
        <w:pStyle w:val="ListParagraph"/>
        <w:numPr>
          <w:ilvl w:val="0"/>
          <w:numId w:val="2"/>
        </w:numPr>
        <w:spacing w:after="70"/>
      </w:pPr>
      <w:r>
        <w:t xml:space="preserve">We process Service Data only on your documented instructions. The Main Agreement, this agreement, and the way you configure and use Syntalyze (including the knowledge, workflows, integrations and retention periods you set) are your instructions. We will process it otherwise only if the law requires us to, and then we will tell you first unless the law forbids it.</w:t>
      </w:r>
    </w:p>
    <w:p>
      <w:pPr>
        <w:pStyle w:val="ListParagraph"/>
        <w:numPr>
          <w:ilvl w:val="0"/>
          <w:numId w:val="2"/>
        </w:numPr>
        <w:spacing w:after="70"/>
      </w:pPr>
      <w:r>
        <w:t xml:space="preserve">We will tell you promptly if we think an instruction breaks Data Protection Law. We are not obliged to carry it out until you confirm or change it.</w:t>
      </w:r>
    </w:p>
    <w:p>
      <w:pPr>
        <w:pStyle w:val="ListParagraph"/>
        <w:numPr>
          <w:ilvl w:val="0"/>
          <w:numId w:val="2"/>
        </w:numPr>
        <w:spacing w:after="70"/>
      </w:pPr>
      <w:r>
        <w:t xml:space="preserve">You are responsible for having a lawful basis for the processing, for the notices you give Data Subjects, and for the accuracy of the content you load into Syntalyze.</w:t>
      </w:r>
    </w:p>
    <w:p>
      <w:pPr>
        <w:pStyle w:val="ListParagraph"/>
        <w:numPr>
          <w:ilvl w:val="0"/>
          <w:numId w:val="2"/>
        </w:numPr>
        <w:spacing w:after="70"/>
      </w:pPr>
      <w:r>
        <w:t xml:space="preserve">We will not sell Service Data, use it for advertising, or use it to train artificial intelligence models.</w:t>
      </w:r>
    </w:p>
    <w:p>
      <w:pPr>
        <w:pStyle w:val="Heading2"/>
        <w:keepNext/>
      </w:pPr>
      <w:r>
        <w:t xml:space="preserve">3. Our people</w:t>
      </w:r>
    </w:p>
    <w:p>
      <w:pPr>
        <w:spacing w:after="140"/>
      </w:pPr>
      <w:r>
        <w:t xml:space="preserve">Everyone we authorise to process Service Data is bound by a duty of confidentiality and has access only to what they need to provide, support or secure the service.</w:t>
      </w:r>
    </w:p>
    <w:p>
      <w:pPr>
        <w:pStyle w:val="Heading2"/>
        <w:keepNext/>
      </w:pPr>
      <w:r>
        <w:t xml:space="preserve">4. Security</w:t>
      </w:r>
    </w:p>
    <w:p>
      <w:pPr>
        <w:spacing w:after="140"/>
      </w:pPr>
      <w:r>
        <w:t xml:space="preserve">We apply the technical and organisational measures in Schedule 2, which are designed to ensure a level of security appropriate to the risk, as Article 32 UK GDPR requires. We may improve them over time but will not reduce the overall level of protection they give.</w:t>
      </w:r>
    </w:p>
    <w:p>
      <w:pPr>
        <w:pStyle w:val="Heading2"/>
        <w:keepNext/>
      </w:pPr>
      <w:r>
        <w:t xml:space="preserve">5. Sub-processors</w:t>
      </w:r>
    </w:p>
    <w:p>
      <w:pPr>
        <w:pStyle w:val="ListParagraph"/>
        <w:numPr>
          <w:ilvl w:val="0"/>
          <w:numId w:val="3"/>
        </w:numPr>
        <w:spacing w:after="70"/>
      </w:pPr>
      <w:r>
        <w:t xml:space="preserve">You give us general authorisation to use the Sub-processors listed in Schedule 3, which is kept up to date at syntalyze.com/trust/hosting/.</w:t>
      </w:r>
    </w:p>
    <w:p>
      <w:pPr>
        <w:pStyle w:val="ListParagraph"/>
        <w:numPr>
          <w:ilvl w:val="0"/>
          <w:numId w:val="3"/>
        </w:numPr>
        <w:spacing w:after="70"/>
      </w:pPr>
      <w:r>
        <w:t xml:space="preserve">We will tell you at least 30 days before adding or replacing a Sub-processor. You may object on reasonable data protection grounds within that time. We will then discuss a reasonable alternative in good faith; if none is found, you may end the affected part of the service and receive a pro-rata refund of any prepaid fees for it.</w:t>
      </w:r>
    </w:p>
    <w:p>
      <w:pPr>
        <w:pStyle w:val="ListParagraph"/>
        <w:numPr>
          <w:ilvl w:val="0"/>
          <w:numId w:val="3"/>
        </w:numPr>
        <w:spacing w:after="70"/>
      </w:pPr>
      <w:r>
        <w:t xml:space="preserve">We impose on each Sub-processor, by written contract, data protection obligations that give at least the same protection as this agreement. We remain responsible to you for their performance.</w:t>
      </w:r>
    </w:p>
    <w:p>
      <w:pPr>
        <w:pStyle w:val="Heading2"/>
        <w:keepNext/>
      </w:pPr>
      <w:r>
        <w:t xml:space="preserve">6. Where Service Data is held, and transfers</w:t>
      </w:r>
    </w:p>
    <w:p>
      <w:pPr>
        <w:pStyle w:val="ListParagraph"/>
        <w:numPr>
          <w:ilvl w:val="0"/>
          <w:numId w:val="4"/>
        </w:numPr>
        <w:spacing w:after="70"/>
      </w:pPr>
      <w:r>
        <w:t xml:space="preserve">Service Data is hosted in your organisation's own region, as Schedule 1 shows: Organisations in the UK: Amazon Web Services, London (eu-west-2); Organisations in South Africa: Amazon Web Services, Cape Town (af-south-1); Organisations anywhere else: Amazon Web Services, the region in your country, or the nearest one where AWS has none.</w:t>
      </w:r>
    </w:p>
    <w:p>
      <w:pPr>
        <w:pStyle w:val="ListParagraph"/>
        <w:numPr>
          <w:ilvl w:val="0"/>
          <w:numId w:val="4"/>
        </w:numPr>
        <w:spacing w:after="70"/>
      </w:pPr>
      <w:r>
        <w:t xml:space="preserve">Some Sub-processors process Service Data outside the UK, as Schedule 3 shows. Each such transfer is made under a mechanism Data Protection Law allows, such as UK adequacy regulations or the International Data Transfer Addendum to the EU Standard Contractual Clauses issued by the Information Commissioner, with supplementary measures where a transfer risk assessment calls for them. We will give you a copy of the relevant transfer terms and our transfer risk assessment on request.</w:t>
      </w:r>
    </w:p>
    <w:p>
      <w:pPr>
        <w:pStyle w:val="ListParagraph"/>
        <w:numPr>
          <w:ilvl w:val="0"/>
          <w:numId w:val="4"/>
        </w:numPr>
        <w:spacing w:after="70"/>
      </w:pPr>
      <w:r>
        <w:t xml:space="preserve">We will not make any other transfer of Service Data outside the UK without your prior written agreement.</w:t>
      </w:r>
    </w:p>
    <w:p>
      <w:pPr>
        <w:pStyle w:val="Heading2"/>
        <w:keepNext/>
      </w:pPr>
      <w:r>
        <w:t xml:space="preserve">7. Helping you with Data Subjects' rights</w:t>
      </w:r>
    </w:p>
    <w:p>
      <w:pPr>
        <w:pStyle w:val="ListParagraph"/>
        <w:numPr>
          <w:ilvl w:val="0"/>
          <w:numId w:val="5"/>
        </w:numPr>
        <w:spacing w:after="70"/>
      </w:pPr>
      <w:r>
        <w:t xml:space="preserve">Syntalyze gives your staff tools to find the Personal Data held about a person by email address, phone number or reference, to export it in a machine-readable format, and to erase it. These meet most requests without needing us.</w:t>
      </w:r>
    </w:p>
    <w:p>
      <w:pPr>
        <w:pStyle w:val="ListParagraph"/>
        <w:numPr>
          <w:ilvl w:val="0"/>
          <w:numId w:val="5"/>
        </w:numPr>
        <w:spacing w:after="70"/>
      </w:pPr>
      <w:r>
        <w:t xml:space="preserve">Where they do not, we will help you, taking into account the nature of the processing, within five working days of your request.</w:t>
      </w:r>
    </w:p>
    <w:p>
      <w:pPr>
        <w:pStyle w:val="ListParagraph"/>
        <w:numPr>
          <w:ilvl w:val="0"/>
          <w:numId w:val="5"/>
        </w:numPr>
        <w:spacing w:after="70"/>
      </w:pPr>
      <w:r>
        <w:t xml:space="preserve">If a Data Subject contacts us directly about Service Data, we will pass the request to you without undue delay and will not respond to it ourselves except on your instructions.</w:t>
      </w:r>
    </w:p>
    <w:p>
      <w:pPr>
        <w:pStyle w:val="Heading2"/>
        <w:keepNext/>
      </w:pPr>
      <w:r>
        <w:t xml:space="preserve">8. Personal Data Breaches</w:t>
      </w:r>
    </w:p>
    <w:p>
      <w:pPr>
        <w:pStyle w:val="ListParagraph"/>
        <w:numPr>
          <w:ilvl w:val="0"/>
          <w:numId w:val="6"/>
        </w:numPr>
        <w:spacing w:after="70"/>
      </w:pPr>
      <w:r>
        <w:t xml:space="preserve">We will tell you without undue delay, and in any case within 48 hours, after becoming aware of a Personal Data Breach affecting Service Data.</w:t>
      </w:r>
    </w:p>
    <w:p>
      <w:pPr>
        <w:pStyle w:val="ListParagraph"/>
        <w:numPr>
          <w:ilvl w:val="0"/>
          <w:numId w:val="6"/>
        </w:numPr>
        <w:spacing w:after="70"/>
      </w:pPr>
      <w:r>
        <w:t xml:space="preserve">We will give you what we know of the nature of the breach, the categories and approximate numbers of Data Subjects and records concerned, the likely consequences, and the measures taken or proposed, and will add to it as we learn more. This is so you can meet your own duties under Articles 33 and 34 UK GDPR.</w:t>
      </w:r>
    </w:p>
    <w:p>
      <w:pPr>
        <w:pStyle w:val="ListParagraph"/>
        <w:numPr>
          <w:ilvl w:val="0"/>
          <w:numId w:val="6"/>
        </w:numPr>
        <w:spacing w:after="70"/>
      </w:pPr>
      <w:r>
        <w:t xml:space="preserve">We will take reasonable steps to contain and remedy the breach, and will not tell any third party about it, except as the law requires, without first consulting you.</w:t>
      </w:r>
    </w:p>
    <w:p>
      <w:pPr>
        <w:pStyle w:val="Heading2"/>
        <w:keepNext/>
      </w:pPr>
      <w:r>
        <w:t xml:space="preserve">9. Impact assessments and the regulator</w:t>
      </w:r>
    </w:p>
    <w:p>
      <w:pPr>
        <w:spacing w:after="140"/>
      </w:pPr>
      <w:r>
        <w:t xml:space="preserve">We will give you reasonable help with data protection impact assessments and any prior consultation with the Information Commissioner about the processing. Our buyer's pack, including a DPIA template completed with our side of the processing, is the starting point.</w:t>
      </w:r>
    </w:p>
    <w:p>
      <w:pPr>
        <w:pStyle w:val="Heading2"/>
        <w:keepNext/>
      </w:pPr>
      <w:r>
        <w:t xml:space="preserve">10. End of the service</w:t>
      </w:r>
    </w:p>
    <w:p>
      <w:pPr>
        <w:pStyle w:val="ListParagraph"/>
        <w:numPr>
          <w:ilvl w:val="0"/>
          <w:numId w:val="7"/>
        </w:numPr>
        <w:spacing w:after="70"/>
      </w:pPr>
      <w:r>
        <w:t xml:space="preserve">For 30 days after the Main Agreement ends you may export your Service Data using the tools in Syntalyze, or ask us for an export.</w:t>
      </w:r>
    </w:p>
    <w:p>
      <w:pPr>
        <w:pStyle w:val="ListParagraph"/>
        <w:numPr>
          <w:ilvl w:val="0"/>
          <w:numId w:val="7"/>
        </w:numPr>
        <w:spacing w:after="70"/>
      </w:pPr>
      <w:r>
        <w:t xml:space="preserve">After that we will permanently delete all Service Data from the live service, and confirm it in writing on request. Backups containing it expire and are deleted within a further 35 days.</w:t>
      </w:r>
    </w:p>
    <w:p>
      <w:pPr>
        <w:pStyle w:val="ListParagraph"/>
        <w:numPr>
          <w:ilvl w:val="0"/>
          <w:numId w:val="7"/>
        </w:numPr>
        <w:spacing w:after="70"/>
      </w:pPr>
      <w:r>
        <w:t xml:space="preserve">We may keep Service Data for longer only where the law requires us to, and then only for as long as it requires, protected as this agreement sets out.</w:t>
      </w:r>
    </w:p>
    <w:p>
      <w:pPr>
        <w:pStyle w:val="Heading2"/>
        <w:keepNext/>
      </w:pPr>
      <w:r>
        <w:t xml:space="preserve">11. Information and audits</w:t>
      </w:r>
    </w:p>
    <w:p>
      <w:pPr>
        <w:pStyle w:val="ListParagraph"/>
        <w:numPr>
          <w:ilvl w:val="0"/>
          <w:numId w:val="8"/>
        </w:numPr>
        <w:spacing w:after="70"/>
      </w:pPr>
      <w:r>
        <w:t xml:space="preserve">We will make available all information reasonably needed to show that we meet Article 28 UK GDPR. Our buyer's pack and written answers to your security questionnaire, once a year, are the first source.</w:t>
      </w:r>
    </w:p>
    <w:p>
      <w:pPr>
        <w:pStyle w:val="ListParagraph"/>
        <w:numPr>
          <w:ilvl w:val="0"/>
          <w:numId w:val="8"/>
        </w:numPr>
        <w:spacing w:after="70"/>
      </w:pPr>
      <w:r>
        <w:t xml:space="preserve">Where that is not enough, you or an independent auditor bound by confidentiality may audit our compliance with this agreement on at least 30 days' notice, during working hours, no more than once in any 12 months unless a Personal Data Breach or a regulator requires it. Each party bears its own costs.</w:t>
      </w:r>
    </w:p>
    <w:p>
      <w:pPr>
        <w:pStyle w:val="Heading2"/>
        <w:keepNext/>
      </w:pPr>
      <w:r>
        <w:t xml:space="preserve">12. General</w:t>
      </w:r>
    </w:p>
    <w:p>
      <w:pPr>
        <w:pStyle w:val="ListParagraph"/>
        <w:numPr>
          <w:ilvl w:val="0"/>
          <w:numId w:val="9"/>
        </w:numPr>
        <w:spacing w:after="70"/>
      </w:pPr>
      <w:r>
        <w:t xml:space="preserve">Each party's liability under this agreement is subject to the limits and exclusions in the Main Agreement.</w:t>
      </w:r>
    </w:p>
    <w:p>
      <w:pPr>
        <w:pStyle w:val="ListParagraph"/>
        <w:numPr>
          <w:ilvl w:val="0"/>
          <w:numId w:val="9"/>
        </w:numPr>
        <w:spacing w:after="70"/>
      </w:pPr>
      <w:r>
        <w:t xml:space="preserve">This agreement lasts as long as we process Service Data for you.</w:t>
      </w:r>
    </w:p>
    <w:p>
      <w:pPr>
        <w:pStyle w:val="ListParagraph"/>
        <w:numPr>
          <w:ilvl w:val="0"/>
          <w:numId w:val="9"/>
        </w:numPr>
        <w:spacing w:after="70"/>
      </w:pPr>
      <w:r>
        <w:t xml:space="preserve">If Data Protection Law changes, we will agree any amendments needed to keep this agreement compliant.</w:t>
      </w:r>
    </w:p>
    <w:p>
      <w:pPr>
        <w:pStyle w:val="ListParagraph"/>
        <w:numPr>
          <w:ilvl w:val="0"/>
          <w:numId w:val="9"/>
        </w:numPr>
        <w:spacing w:after="70"/>
      </w:pPr>
      <w:r>
        <w:t xml:space="preserve">This agreement is governed by the law of England and Wales, and the courts of England and Wales have exclusive jurisdiction, unless the Main Agreement says otherwise.</w:t>
      </w:r>
    </w:p>
    <w:p>
      <w:pPr>
        <w:pStyle w:val="Heading2"/>
        <w:keepNext/>
      </w:pPr>
      <w:r>
        <w:t xml:space="preserve">Signed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8"/>
        <w:gridCol w:w="3855"/>
        <w:gridCol w:w="3855"/>
      </w:tblGrid>
      <w:tr>
        <w:trPr>
          <w:tblHeader/>
        </w:trPr>
        <w:tc>
          <w:tcPr>
            <w:tcW w:type="dxa" w:w="1928"/>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p>
        </w:tc>
        <w:tc>
          <w:tcPr>
            <w:tcW w:type="dxa" w:w="3855"/>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MG12 Design</w:t>
            </w:r>
          </w:p>
        </w:tc>
        <w:tc>
          <w:tcPr>
            <w:tcW w:type="dxa" w:w="3855"/>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Controller</w:t>
            </w:r>
          </w:p>
        </w:tc>
      </w:tr>
      <w:tr>
        <w:trPr>
          <w:cantSplit/>
        </w:trPr>
        <w:tc>
          <w:tcPr>
            <w:tcW w:type="dxa" w:w="1928"/>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Name</w:t>
            </w:r>
          </w:p>
        </w:tc>
        <w:tc>
          <w:tcPr>
            <w:tcW w:type="dxa" w:w="385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c>
          <w:tcPr>
            <w:tcW w:type="dxa" w:w="385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r>
      <w:tr>
        <w:trPr>
          <w:cantSplit/>
        </w:trPr>
        <w:tc>
          <w:tcPr>
            <w:tcW w:type="dxa" w:w="1928"/>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Role</w:t>
            </w:r>
          </w:p>
        </w:tc>
        <w:tc>
          <w:tcPr>
            <w:tcW w:type="dxa" w:w="385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c>
          <w:tcPr>
            <w:tcW w:type="dxa" w:w="385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r>
      <w:tr>
        <w:trPr>
          <w:cantSplit/>
        </w:trPr>
        <w:tc>
          <w:tcPr>
            <w:tcW w:type="dxa" w:w="1928"/>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Signature</w:t>
            </w:r>
          </w:p>
        </w:tc>
        <w:tc>
          <w:tcPr>
            <w:tcW w:type="dxa" w:w="385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c>
          <w:tcPr>
            <w:tcW w:type="dxa" w:w="385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r>
      <w:tr>
        <w:trPr>
          <w:cantSplit/>
        </w:trPr>
        <w:tc>
          <w:tcPr>
            <w:tcW w:type="dxa" w:w="1928"/>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Date</w:t>
            </w:r>
          </w:p>
        </w:tc>
        <w:tc>
          <w:tcPr>
            <w:tcW w:type="dxa" w:w="385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c>
          <w:tcPr>
            <w:tcW w:type="dxa" w:w="3855"/>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p>
        </w:tc>
      </w:tr>
    </w:tbl>
    <w:p>
      <w:pPr>
        <w:spacing w:after="120"/>
      </w:pPr>
    </w:p>
    <w:p>
      <w:pPr>
        <w:pageBreakBefore/>
      </w:pPr>
    </w:p>
    <w:p>
      <w:pPr>
        <w:pStyle w:val="Heading2"/>
        <w:keepNext/>
      </w:pPr>
      <w:r>
        <w:t xml:space="preserve">Schedule 1: Details of the processing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10"/>
        <w:gridCol w:w="7228"/>
      </w:tblGrid>
      <w:tr>
        <w:trPr>
          <w:cantSplit/>
        </w:trPr>
        <w:tc>
          <w:tcPr>
            <w:tcW w:type="dxa" w:w="2410"/>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Subject matter</w:t>
            </w:r>
          </w:p>
        </w:tc>
        <w:tc>
          <w:tcPr>
            <w:tcW w:type="dxa" w:w="7228"/>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Providing Syntalyze: an assistant and workflow platform that answers your customers' questions from your own knowledge, captures and progresses their requests as cases, and supports your staff, agents and suppliers in handling them.</w:t>
            </w:r>
          </w:p>
        </w:tc>
      </w:tr>
      <w:tr>
        <w:trPr>
          <w:cantSplit/>
        </w:trPr>
        <w:tc>
          <w:tcPr>
            <w:tcW w:type="dxa" w:w="2410"/>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Duration</w:t>
            </w:r>
          </w:p>
        </w:tc>
        <w:tc>
          <w:tcPr>
            <w:tcW w:type="dxa" w:w="7228"/>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The term of the Main Agreement, plus the export and deletion periods in clause 10.</w:t>
            </w:r>
          </w:p>
        </w:tc>
      </w:tr>
      <w:tr>
        <w:trPr>
          <w:cantSplit/>
        </w:trPr>
        <w:tc>
          <w:tcPr>
            <w:tcW w:type="dxa" w:w="2410"/>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Nature of the processing</w:t>
            </w:r>
          </w:p>
        </w:tc>
        <w:tc>
          <w:tcPr>
            <w:tcW w:type="dxa" w:w="7228"/>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Collection through the chat widget, portals, integrations and imports; storage; retrieval and search; generating answers and summaries with language models; running the workflows you configure (including sending emails and calling your systems); reporting; redaction, export and deletion.</w:t>
            </w:r>
          </w:p>
        </w:tc>
      </w:tr>
      <w:tr>
        <w:trPr>
          <w:cantSplit/>
        </w:trPr>
        <w:tc>
          <w:tcPr>
            <w:tcW w:type="dxa" w:w="2410"/>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Purpose</w:t>
            </w:r>
          </w:p>
        </w:tc>
        <w:tc>
          <w:tcPr>
            <w:tcW w:type="dxa" w:w="7228"/>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To answer customers' questions, record and progress their requests, hand them to your staff when needed, and give you reporting on the service, as you configure it.</w:t>
            </w:r>
          </w:p>
        </w:tc>
      </w:tr>
      <w:tr>
        <w:trPr>
          <w:cantSplit/>
        </w:trPr>
        <w:tc>
          <w:tcPr>
            <w:tcW w:type="dxa" w:w="2410"/>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Categories of Data Subjects</w:t>
            </w:r>
          </w:p>
        </w:tc>
        <w:tc>
          <w:tcPr>
            <w:tcW w:type="dxa" w:w="7228"/>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Your customers, residents, tenants or service users who use the assistant or whose requests are recorded.</w:t>
            </w:r>
          </w:p>
          <w:p>
            <w:pPr>
              <w:spacing w:after="40"/>
            </w:pPr>
            <w:r>
              <w:rPr>
                <w:sz w:val="19"/>
                <w:szCs w:val="19"/>
              </w:rPr>
              <w:t xml:space="preserve">Your staff, agents and administrators who use the portals.</w:t>
            </w:r>
          </w:p>
          <w:p>
            <w:pPr>
              <w:spacing w:after="40"/>
            </w:pPr>
            <w:r>
              <w:rPr>
                <w:sz w:val="19"/>
                <w:szCs w:val="19"/>
              </w:rPr>
              <w:t xml:space="preserve">Your suppliers' staff, such as field technicians, if you use the supplier portal.</w:t>
            </w:r>
          </w:p>
        </w:tc>
      </w:tr>
      <w:tr>
        <w:trPr>
          <w:cantSplit/>
        </w:trPr>
        <w:tc>
          <w:tcPr>
            <w:tcW w:type="dxa" w:w="2410"/>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Types of Personal Data</w:t>
            </w:r>
          </w:p>
        </w:tc>
        <w:tc>
          <w:tcPr>
            <w:tcW w:type="dxa" w:w="7228"/>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Identity and contact details: name, email address, phone number, postal address, customer or account reference.</w:t>
            </w:r>
          </w:p>
          <w:p>
            <w:pPr>
              <w:spacing w:after="40"/>
            </w:pPr>
            <w:r>
              <w:rPr>
                <w:sz w:val="19"/>
                <w:szCs w:val="19"/>
              </w:rPr>
              <w:t xml:space="preserve">What people tell the assistant: questions, messages and answers, including anything they choose to type.</w:t>
            </w:r>
          </w:p>
          <w:p>
            <w:pPr>
              <w:spacing w:after="40"/>
            </w:pPr>
            <w:r>
              <w:rPr>
                <w:sz w:val="19"/>
                <w:szCs w:val="19"/>
              </w:rPr>
              <w:t xml:space="preserve">Case details: the request, its status, dates, notes, appointments and outcomes, and fields your workflows collect.</w:t>
            </w:r>
          </w:p>
          <w:p>
            <w:pPr>
              <w:spacing w:after="40"/>
            </w:pPr>
            <w:r>
              <w:rPr>
                <w:sz w:val="19"/>
                <w:szCs w:val="19"/>
              </w:rPr>
              <w:t xml:space="preserve">Staff and supplier accounts: name, work email, role, sign-in records.</w:t>
            </w:r>
          </w:p>
          <w:p>
            <w:pPr>
              <w:spacing w:after="40"/>
            </w:pPr>
            <w:r>
              <w:rPr>
                <w:sz w:val="19"/>
                <w:szCs w:val="19"/>
              </w:rPr>
              <w:t xml:space="preserve">Technical data: session identifiers and timestamps; IP addresses only if you switch on storing them.</w:t>
            </w:r>
          </w:p>
        </w:tc>
      </w:tr>
      <w:tr>
        <w:trPr>
          <w:cantSplit/>
        </w:trPr>
        <w:tc>
          <w:tcPr>
            <w:tcW w:type="dxa" w:w="2410"/>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Special category data</w:t>
            </w:r>
          </w:p>
        </w:tc>
        <w:tc>
          <w:tcPr>
            <w:tcW w:type="dxa" w:w="7228"/>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Syntalyze does not ask for it unless you configure a workflow that does. People may still volunteer it in free text, for example health details in a repair report. You decide whether your use involves special category or criminal offence data, and record your condition for processing it in your DPIA.</w:t>
            </w:r>
          </w:p>
        </w:tc>
      </w:tr>
      <w:tr>
        <w:trPr>
          <w:cantSplit/>
        </w:trPr>
        <w:tc>
          <w:tcPr>
            <w:tcW w:type="dxa" w:w="2410"/>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Retention</w:t>
            </w:r>
          </w:p>
        </w:tc>
        <w:tc>
          <w:tcPr>
            <w:tcW w:type="dxa" w:w="7228"/>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As you set in Syntalyze's retention settings for conversations, closed cases and session records; otherwise for the term of the Main Agreement.</w:t>
            </w:r>
          </w:p>
        </w:tc>
      </w:tr>
      <w:tr>
        <w:trPr>
          <w:cantSplit/>
        </w:trPr>
        <w:tc>
          <w:tcPr>
            <w:tcW w:type="dxa" w:w="2410"/>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b/>
                <w:bCs/>
                <w:sz w:val="19"/>
                <w:szCs w:val="19"/>
              </w:rPr>
              <w:t xml:space="preserve">Hosting region</w:t>
            </w:r>
          </w:p>
        </w:tc>
        <w:tc>
          <w:tcPr>
            <w:tcW w:type="dxa" w:w="7228"/>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Organisations in the UK: Amazon Web Services, London (eu-west-2).</w:t>
            </w:r>
          </w:p>
          <w:p>
            <w:pPr>
              <w:spacing w:after="40"/>
            </w:pPr>
            <w:r>
              <w:rPr>
                <w:sz w:val="19"/>
                <w:szCs w:val="19"/>
              </w:rPr>
              <w:t xml:space="preserve">Organisations in South Africa: Amazon Web Services, Cape Town (af-south-1).</w:t>
            </w:r>
          </w:p>
          <w:p>
            <w:pPr>
              <w:spacing w:after="40"/>
            </w:pPr>
            <w:r>
              <w:rPr>
                <w:sz w:val="19"/>
                <w:szCs w:val="19"/>
              </w:rPr>
              <w:t xml:space="preserve">Organisations anywhere else: Amazon Web Services, the region in your country, or the nearest one where AWS has none.</w:t>
            </w:r>
          </w:p>
        </w:tc>
      </w:tr>
    </w:tbl>
    <w:p>
      <w:pPr>
        <w:spacing w:after="120"/>
      </w:pPr>
    </w:p>
    <w:p>
      <w:pPr>
        <w:pStyle w:val="Heading2"/>
        <w:keepNext/>
      </w:pPr>
      <w:r>
        <w:t xml:space="preserve">Schedule 2: Technical and organisational measures</w:t>
      </w:r>
    </w:p>
    <w:p>
      <w:pPr>
        <w:pStyle w:val="Heading3"/>
        <w:keepNext/>
      </w:pPr>
      <w:r>
        <w:t xml:space="preserve">Encryption</w:t>
      </w:r>
    </w:p>
    <w:p>
      <w:pPr>
        <w:pStyle w:val="ListParagraph"/>
        <w:numPr>
          <w:ilvl w:val="0"/>
          <w:numId w:val="10"/>
        </w:numPr>
        <w:spacing w:after="70"/>
      </w:pPr>
      <w:r>
        <w:t xml:space="preserve">All traffic to the service is HTTPS, TLS 1.2 or 1.3 only; plain HTTP redirects to HTTPS and browsers are told to insist on it (HSTS, two years).</w:t>
      </w:r>
    </w:p>
    <w:p>
      <w:pPr>
        <w:pStyle w:val="ListParagraph"/>
        <w:numPr>
          <w:ilvl w:val="0"/>
          <w:numId w:val="10"/>
        </w:numPr>
        <w:spacing w:after="70"/>
      </w:pPr>
      <w:r>
        <w:t xml:space="preserve">Storage volumes, database files and backups are encrypted at rest with AES-256 (AWS-managed keys).</w:t>
      </w:r>
    </w:p>
    <w:p>
      <w:pPr>
        <w:pStyle w:val="ListParagraph"/>
        <w:numPr>
          <w:ilvl w:val="0"/>
          <w:numId w:val="10"/>
        </w:numPr>
        <w:spacing w:after="70"/>
      </w:pPr>
      <w:r>
        <w:t xml:space="preserve">Conversation text, case details, customer records, contact details and their change history are also encrypted field by field in the database with AES-256-GCM, so a copy of the database alone does not reveal them.</w:t>
      </w:r>
    </w:p>
    <w:p>
      <w:pPr>
        <w:pStyle w:val="ListParagraph"/>
        <w:numPr>
          <w:ilvl w:val="0"/>
          <w:numId w:val="10"/>
        </w:numPr>
        <w:spacing w:after="70"/>
      </w:pPr>
      <w:r>
        <w:t xml:space="preserve">Secrets and keys are held in AWS Systems Manager Parameter Store, never in source code.</w:t>
      </w:r>
    </w:p>
    <w:p>
      <w:pPr>
        <w:pStyle w:val="Heading3"/>
        <w:keepNext/>
      </w:pPr>
      <w:r>
        <w:t xml:space="preserve">Access to your data</w:t>
      </w:r>
    </w:p>
    <w:p>
      <w:pPr>
        <w:pStyle w:val="ListParagraph"/>
        <w:numPr>
          <w:ilvl w:val="0"/>
          <w:numId w:val="10"/>
        </w:numPr>
        <w:spacing w:after="70"/>
      </w:pPr>
      <w:r>
        <w:t xml:space="preserve">Every organisation's data is separated by an organisation identifier on every query. Automated tests try to read one organisation's records from another's session on every change, and fail the build if they can.</w:t>
      </w:r>
    </w:p>
    <w:p>
      <w:pPr>
        <w:pStyle w:val="ListParagraph"/>
        <w:numPr>
          <w:ilvl w:val="0"/>
          <w:numId w:val="10"/>
        </w:numPr>
        <w:spacing w:after="70"/>
      </w:pPr>
      <w:r>
        <w:t xml:space="preserve">Every endpoint must declare who may call it; a test walks the whole application and fails the build if one does not.</w:t>
      </w:r>
    </w:p>
    <w:p>
      <w:pPr>
        <w:pStyle w:val="ListParagraph"/>
        <w:numPr>
          <w:ilvl w:val="0"/>
          <w:numId w:val="10"/>
        </w:numPr>
        <w:spacing w:after="70"/>
      </w:pPr>
      <w:r>
        <w:t xml:space="preserve">Staff sign-in uses salted bcrypt password hashes, multi-factor authentication with an authenticator app, and account lockout after repeated failures. Organisations can require multi-factor authentication for all their staff and agents; it is always required for our own administrators.</w:t>
      </w:r>
    </w:p>
    <w:p>
      <w:pPr>
        <w:pStyle w:val="ListParagraph"/>
        <w:numPr>
          <w:ilvl w:val="0"/>
          <w:numId w:val="10"/>
        </w:numPr>
        <w:spacing w:after="70"/>
      </w:pPr>
      <w:r>
        <w:t xml:space="preserve">Agent desktops can sign in through your own identity provider, so your joiners and leavers process applies.</w:t>
      </w:r>
    </w:p>
    <w:p>
      <w:pPr>
        <w:pStyle w:val="ListParagraph"/>
        <w:numPr>
          <w:ilvl w:val="0"/>
          <w:numId w:val="10"/>
        </w:numPr>
        <w:spacing w:after="70"/>
      </w:pPr>
      <w:r>
        <w:t xml:space="preserve">You decide which customer details agents and suppliers see: each item in your data dictionary is marked visible to agents or not, and editable by them or not. Fields that are not visible are never sent to the agent desktop or the supplier portal.</w:t>
      </w:r>
    </w:p>
    <w:p>
      <w:pPr>
        <w:pStyle w:val="ListParagraph"/>
        <w:numPr>
          <w:ilvl w:val="0"/>
          <w:numId w:val="10"/>
        </w:numPr>
        <w:spacing w:after="70"/>
      </w:pPr>
      <w:r>
        <w:t xml:space="preserve">Sign-in, conversation and upload endpoints are rate limited.</w:t>
      </w:r>
    </w:p>
    <w:p>
      <w:pPr>
        <w:pStyle w:val="ListParagraph"/>
        <w:numPr>
          <w:ilvl w:val="0"/>
          <w:numId w:val="10"/>
        </w:numPr>
        <w:spacing w:after="70"/>
      </w:pPr>
      <w:r>
        <w:t xml:space="preserve">The chat widget's public key can only start customer conversations. It cannot reach staff functions or other customers' records.</w:t>
      </w:r>
    </w:p>
    <w:p>
      <w:pPr>
        <w:pStyle w:val="Heading3"/>
        <w:keepNext/>
      </w:pPr>
      <w:r>
        <w:t xml:space="preserve">Infrastructure</w:t>
      </w:r>
    </w:p>
    <w:p>
      <w:pPr>
        <w:pStyle w:val="ListParagraph"/>
        <w:numPr>
          <w:ilvl w:val="0"/>
          <w:numId w:val="10"/>
        </w:numPr>
        <w:spacing w:after="70"/>
      </w:pPr>
      <w:r>
        <w:t xml:space="preserve">The application servers accept traffic only from the load balancer; the database accepts connections only from the server itself.</w:t>
      </w:r>
    </w:p>
    <w:p>
      <w:pPr>
        <w:pStyle w:val="ListParagraph"/>
        <w:numPr>
          <w:ilvl w:val="0"/>
          <w:numId w:val="10"/>
        </w:numPr>
        <w:spacing w:after="70"/>
      </w:pPr>
      <w:r>
        <w:t xml:space="preserve">Administrative access to servers is restricted to named addresses and uses AWS Systems Manager, with instance metadata protected (IMDSv2).</w:t>
      </w:r>
    </w:p>
    <w:p>
      <w:pPr>
        <w:pStyle w:val="ListParagraph"/>
        <w:numPr>
          <w:ilvl w:val="0"/>
          <w:numId w:val="10"/>
        </w:numPr>
        <w:spacing w:after="70"/>
      </w:pPr>
      <w:r>
        <w:t xml:space="preserve">Responses carry security headers that stop the portals being framed by other sites and stop content-type sniffing.</w:t>
      </w:r>
    </w:p>
    <w:p>
      <w:pPr>
        <w:pStyle w:val="Heading3"/>
        <w:keepNext/>
      </w:pPr>
      <w:r>
        <w:t xml:space="preserve">Backups and recovery</w:t>
      </w:r>
    </w:p>
    <w:p>
      <w:pPr>
        <w:pStyle w:val="ListParagraph"/>
        <w:numPr>
          <w:ilvl w:val="0"/>
          <w:numId w:val="10"/>
        </w:numPr>
        <w:spacing w:after="70"/>
      </w:pPr>
      <w:r>
        <w:t xml:space="preserve">Daily backups of the whole server, kept for 35 days, plus a nightly database export, all within your hosting region.</w:t>
      </w:r>
    </w:p>
    <w:p>
      <w:pPr>
        <w:pStyle w:val="ListParagraph"/>
        <w:numPr>
          <w:ilvl w:val="0"/>
          <w:numId w:val="10"/>
        </w:numPr>
        <w:spacing w:after="70"/>
      </w:pPr>
      <w:r>
        <w:t xml:space="preserve">Each backup is encrypted and held in a separate AWS Backup vault.</w:t>
      </w:r>
    </w:p>
    <w:p>
      <w:pPr>
        <w:pStyle w:val="Heading3"/>
        <w:keepNext/>
      </w:pPr>
      <w:r>
        <w:t xml:space="preserve">Retention and deletion</w:t>
      </w:r>
    </w:p>
    <w:p>
      <w:pPr>
        <w:pStyle w:val="ListParagraph"/>
        <w:numPr>
          <w:ilvl w:val="0"/>
          <w:numId w:val="10"/>
        </w:numPr>
        <w:spacing w:after="70"/>
      </w:pPr>
      <w:r>
        <w:t xml:space="preserve">You set how long conversations, closed cases and session records are kept. A daily job deletes what has passed its retention period.</w:t>
      </w:r>
    </w:p>
    <w:p>
      <w:pPr>
        <w:pStyle w:val="ListParagraph"/>
        <w:numPr>
          <w:ilvl w:val="0"/>
          <w:numId w:val="10"/>
        </w:numPr>
        <w:spacing w:after="70"/>
      </w:pPr>
      <w:r>
        <w:t xml:space="preserve">Your client portal administrators can find everything held about a person by email, phone or reference, export it, or erase it. Agents on the agent desktop cannot, and every export and erasure is logged with who carried it out.</w:t>
      </w:r>
    </w:p>
    <w:p>
      <w:pPr>
        <w:pStyle w:val="ListParagraph"/>
        <w:numPr>
          <w:ilvl w:val="0"/>
          <w:numId w:val="10"/>
        </w:numPr>
        <w:spacing w:after="70"/>
      </w:pPr>
      <w:r>
        <w:t xml:space="preserve">When a contract ends, all of your organisation's data is permanently deleted from the live service, and backups containing it expire within 35 days.</w:t>
      </w:r>
    </w:p>
    <w:p>
      <w:pPr>
        <w:pStyle w:val="ListParagraph"/>
        <w:numPr>
          <w:ilvl w:val="0"/>
          <w:numId w:val="10"/>
        </w:numPr>
        <w:spacing w:after="70"/>
      </w:pPr>
      <w:r>
        <w:t xml:space="preserve">Optional redaction removes email addresses, phone and card numbers, names and addresses from stored conversations.</w:t>
      </w:r>
    </w:p>
    <w:p>
      <w:pPr>
        <w:pStyle w:val="Heading3"/>
        <w:keepNext/>
      </w:pPr>
      <w:r>
        <w:t xml:space="preserve">Development and operations</w:t>
      </w:r>
    </w:p>
    <w:p>
      <w:pPr>
        <w:pStyle w:val="ListParagraph"/>
        <w:numPr>
          <w:ilvl w:val="0"/>
          <w:numId w:val="10"/>
        </w:numPr>
        <w:spacing w:after="70"/>
      </w:pPr>
      <w:r>
        <w:t xml:space="preserve">Every change runs an automated regression suite of more than 1,200 tests, including the access-control and organisation-separation tests above, before it can be merged.</w:t>
      </w:r>
    </w:p>
    <w:p>
      <w:pPr>
        <w:pStyle w:val="ListParagraph"/>
        <w:numPr>
          <w:ilvl w:val="0"/>
          <w:numId w:val="10"/>
        </w:numPr>
        <w:spacing w:after="70"/>
      </w:pPr>
      <w:r>
        <w:t xml:space="preserve">Dependencies are checked for known vulnerabilities weekly.</w:t>
      </w:r>
    </w:p>
    <w:p>
      <w:pPr>
        <w:pStyle w:val="ListParagraph"/>
        <w:numPr>
          <w:ilvl w:val="0"/>
          <w:numId w:val="10"/>
        </w:numPr>
        <w:spacing w:after="70"/>
      </w:pPr>
      <w:r>
        <w:t xml:space="preserve">Logs record events, not personal data: no email addresses, passwords, session tokens or message content.</w:t>
      </w:r>
    </w:p>
    <w:p>
      <w:pPr>
        <w:pStyle w:val="ListParagraph"/>
        <w:numPr>
          <w:ilvl w:val="0"/>
          <w:numId w:val="10"/>
        </w:numPr>
        <w:spacing w:after="70"/>
      </w:pPr>
      <w:r>
        <w:t xml:space="preserve">Personal data is accessed by our staff only to provide support you have asked for, or to keep the service secure.</w:t>
      </w:r>
    </w:p>
    <w:p>
      <w:pPr>
        <w:pStyle w:val="Heading2"/>
        <w:keepNext/>
      </w:pPr>
      <w:r>
        <w:t xml:space="preserve">Schedule 3: Sub-processors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629"/>
        <w:gridCol w:w="2629"/>
        <w:gridCol w:w="1227"/>
        <w:gridCol w:w="1401"/>
      </w:tblGrid>
      <w:tr>
        <w:trPr>
          <w:tblHeader/>
        </w:trPr>
        <w:tc>
          <w:tcPr>
            <w:tcW w:type="dxa" w:w="1752"/>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Sub-processor</w:t>
            </w:r>
          </w:p>
        </w:tc>
        <w:tc>
          <w:tcPr>
            <w:tcW w:type="dxa" w:w="2629"/>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Purpose</w:t>
            </w:r>
          </w:p>
        </w:tc>
        <w:tc>
          <w:tcPr>
            <w:tcW w:type="dxa" w:w="2629"/>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Service Data involved</w:t>
            </w:r>
          </w:p>
        </w:tc>
        <w:tc>
          <w:tcPr>
            <w:tcW w:type="dxa" w:w="1227"/>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Location</w:t>
            </w:r>
          </w:p>
        </w:tc>
        <w:tc>
          <w:tcPr>
            <w:tcW w:type="dxa" w:w="1401"/>
            <w:tcBorders>
              <w:top w:val="single" w:color="C9D3E0" w:sz="4"/>
              <w:left w:val="single" w:color="C9D3E0" w:sz="4"/>
              <w:bottom w:val="single" w:color="C9D3E0" w:sz="4"/>
              <w:right w:val="single" w:color="C9D3E0" w:sz="4"/>
            </w:tcBorders>
            <w:shd w:fill="EEF4FC" w:color="auto" w:val="clear"/>
            <w:tcMar>
              <w:top w:type="dxa" w:w="80"/>
              <w:left w:type="dxa" w:w="110"/>
              <w:bottom w:type="dxa" w:w="80"/>
              <w:right w:type="dxa" w:w="110"/>
            </w:tcMar>
          </w:tcPr>
          <w:p>
            <w:pPr>
              <w:spacing w:after="40"/>
            </w:pPr>
            <w:r>
              <w:rPr>
                <w:b/>
                <w:bCs/>
                <w:sz w:val="19"/>
                <w:szCs w:val="19"/>
              </w:rPr>
              <w:t xml:space="preserve">Used</w:t>
            </w:r>
          </w:p>
        </w:tc>
      </w:tr>
      <w:tr>
        <w:trPr>
          <w:cantSplit/>
        </w:trPr>
        <w:tc>
          <w:tcPr>
            <w:tcW w:type="dxa" w:w="1752"/>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Amazon Web Services EMEA SARL</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Hosting: servers, database, backups, file storage, outbound email, text to speech</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All service data</w:t>
            </w:r>
          </w:p>
        </w:tc>
        <w:tc>
          <w:tcPr>
            <w:tcW w:type="dxa" w:w="122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Your region (see above)</w:t>
            </w:r>
          </w:p>
        </w:tc>
        <w:tc>
          <w:tcPr>
            <w:tcW w:type="dxa" w:w="140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Always</w:t>
            </w:r>
          </w:p>
        </w:tc>
      </w:tr>
      <w:tr>
        <w:trPr>
          <w:cantSplit/>
        </w:trPr>
        <w:tc>
          <w:tcPr>
            <w:tcW w:type="dxa" w:w="1752"/>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OpenAI, L.L.C.</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Language models that write answers, route questions, translate, and turn speech into text</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Questions, recent conversation, the knowledge passages used for the answer, and workflow fields an AI step is given</w:t>
            </w:r>
          </w:p>
        </w:tc>
        <w:tc>
          <w:tcPr>
            <w:tcW w:type="dxa" w:w="122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United States</w:t>
            </w:r>
          </w:p>
        </w:tc>
        <w:tc>
          <w:tcPr>
            <w:tcW w:type="dxa" w:w="140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Always</w:t>
            </w:r>
          </w:p>
        </w:tc>
      </w:tr>
      <w:tr>
        <w:trPr>
          <w:cantSplit/>
        </w:trPr>
        <w:tc>
          <w:tcPr>
            <w:tcW w:type="dxa" w:w="1752"/>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Google LLC (Maps Platform)</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Geocoding and travel times for scheduling field technicians</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Job addresses</w:t>
            </w:r>
          </w:p>
        </w:tc>
        <w:tc>
          <w:tcPr>
            <w:tcW w:type="dxa" w:w="122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United States</w:t>
            </w:r>
          </w:p>
        </w:tc>
        <w:tc>
          <w:tcPr>
            <w:tcW w:type="dxa" w:w="140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Only if you use technician scheduling</w:t>
            </w:r>
          </w:p>
        </w:tc>
      </w:tr>
      <w:tr>
        <w:trPr>
          <w:cantSplit/>
        </w:trPr>
        <w:tc>
          <w:tcPr>
            <w:tcW w:type="dxa" w:w="1752"/>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Trustpilot A/S</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Importing your public reviews</w:t>
            </w:r>
          </w:p>
        </w:tc>
        <w:tc>
          <w:tcPr>
            <w:tcW w:type="dxa" w:w="2629"/>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Your account connection; reviews are read, not sent</w:t>
            </w:r>
          </w:p>
        </w:tc>
        <w:tc>
          <w:tcPr>
            <w:tcW w:type="dxa" w:w="1227"/>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European Union</w:t>
            </w:r>
          </w:p>
        </w:tc>
        <w:tc>
          <w:tcPr>
            <w:tcW w:type="dxa" w:w="1401"/>
            <w:tcBorders>
              <w:top w:val="single" w:color="C9D3E0" w:sz="4"/>
              <w:left w:val="single" w:color="C9D3E0" w:sz="4"/>
              <w:bottom w:val="single" w:color="C9D3E0" w:sz="4"/>
              <w:right w:val="single" w:color="C9D3E0" w:sz="4"/>
            </w:tcBorders>
            <w:tcMar>
              <w:top w:type="dxa" w:w="80"/>
              <w:left w:type="dxa" w:w="110"/>
              <w:bottom w:type="dxa" w:w="80"/>
              <w:right w:type="dxa" w:w="110"/>
            </w:tcMar>
          </w:tcPr>
          <w:p>
            <w:pPr>
              <w:spacing w:after="40"/>
            </w:pPr>
            <w:r>
              <w:rPr>
                <w:sz w:val="19"/>
                <w:szCs w:val="19"/>
              </w:rPr>
              <w:t xml:space="preserve">Only if you connect Trustpilot</w:t>
            </w:r>
          </w:p>
        </w:tc>
      </w:tr>
    </w:tbl>
    <w:p>
      <w:pPr>
        <w:spacing w:after="120"/>
      </w:pPr>
    </w:p>
    <w:p>
      <w:pPr>
        <w:pStyle w:val="Heading3"/>
        <w:keepNext/>
      </w:pPr>
      <w:r>
        <w:t xml:space="preserve">About the language model provider</w:t>
      </w:r>
    </w:p>
    <w:p>
      <w:pPr>
        <w:pStyle w:val="ListParagraph"/>
        <w:numPr>
          <w:ilvl w:val="0"/>
          <w:numId w:val="10"/>
        </w:numPr>
        <w:spacing w:after="70"/>
      </w:pPr>
      <w:r>
        <w:t xml:space="preserve">OpenAI does not use data sent through its API to train or improve its models.</w:t>
      </w:r>
    </w:p>
    <w:p>
      <w:pPr>
        <w:pStyle w:val="ListParagraph"/>
        <w:numPr>
          <w:ilvl w:val="0"/>
          <w:numId w:val="10"/>
        </w:numPr>
        <w:spacing w:after="70"/>
      </w:pPr>
      <w:r>
        <w:t xml:space="preserve">OpenAI keeps API requests in abuse-monitoring logs for up to 30 days, unless the law requires longer.</w:t>
      </w:r>
    </w:p>
    <w:p>
      <w:pPr>
        <w:pStyle w:val="ListParagraph"/>
        <w:numPr>
          <w:ilvl w:val="0"/>
          <w:numId w:val="10"/>
        </w:numPr>
        <w:spacing w:after="70"/>
      </w:pPr>
      <w:r>
        <w:t xml:space="preserve">Syntalyze uses the Chat Completions API, which stores no conversation state at OpenAI.</w:t>
      </w:r>
    </w:p>
    <w:p>
      <w:pPr>
        <w:pStyle w:val="ListParagraph"/>
        <w:numPr>
          <w:ilvl w:val="0"/>
          <w:numId w:val="10"/>
        </w:numPr>
        <w:spacing w:after="70"/>
      </w:pPr>
      <w:r>
        <w:t xml:space="preserve">The transfer to the United States is made under the UK International Data Transfer Addendum, as part of our data processing agreement with OpenAI.</w:t>
      </w:r>
    </w:p>
    <w:sectPr>
      <w:headerReference w:type="default" r:id="rId6"/>
      <w:footerReference w:type="default" r:id="rId7"/>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B80"/>
        <w:sz w:val="16"/>
        <w:szCs w:val="16"/>
      </w:rPr>
      <w:t xml:space="preserve">MG12 Design · Syntalyze data processing agreement · Page </w:t>
    </w:r>
    <w:r>
      <w:rPr>
        <w:color w:val="5B6B80"/>
        <w:sz w:val="16"/>
        <w:szCs w:val="16"/>
      </w:rPr>
      <w:fldChar w:fldCharType="begin"/>
    </w:r>
    <w:r>
      <w:rPr>
        <w:color w:val="5B6B80"/>
        <w:sz w:val="16"/>
        <w:szCs w:val="16"/>
      </w:rPr>
      <w:instrText xml:space="preserve">PAGE</w:instrText>
    </w:r>
    <w:r>
      <w:rPr>
        <w:color w:val="5B6B80"/>
        <w:sz w:val="16"/>
        <w:szCs w:val="16"/>
      </w:rPr>
      <w:fldChar w:fldCharType="separate"/>
    </w:r>
    <w:r>
      <w:rPr>
        <w:color w:val="5B6B80"/>
        <w:sz w:val="16"/>
        <w:szCs w:val="16"/>
      </w:rPr>
      <w:fldChar w:fldCharType="end"/>
    </w:r>
    <w:r>
      <w:rPr>
        <w:color w:val="5B6B80"/>
        <w:sz w:val="16"/>
        <w:szCs w:val="16"/>
      </w:rPr>
      <w:t xml:space="preserve"> of </w:t>
    </w:r>
    <w:r>
      <w:rPr>
        <w:color w:val="5B6B80"/>
        <w:sz w:val="16"/>
        <w:szCs w:val="16"/>
      </w:rPr>
      <w:fldChar w:fldCharType="begin"/>
    </w:r>
    <w:r>
      <w:rPr>
        <w:color w:val="5B6B80"/>
        <w:sz w:val="16"/>
        <w:szCs w:val="16"/>
      </w:rPr>
      <w:instrText xml:space="preserve">NUMPAGES</w:instrText>
    </w:r>
    <w:r>
      <w:rPr>
        <w:color w:val="5B6B80"/>
        <w:sz w:val="16"/>
        <w:szCs w:val="16"/>
      </w:rPr>
      <w:fldChar w:fldCharType="separate"/>
    </w:r>
    <w:r>
      <w:rPr>
        <w:color w:val="5B6B8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B6B80"/>
        <w:sz w:val="16"/>
        <w:szCs w:val="16"/>
      </w:rPr>
      <w:t xml:space="preserve">Data processing agreement · Version 1.0, October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abstractNum w:abstractNumId="4" w15:restartNumberingAfterBreak="0">
    <w:multiLevelType w:val="hybridMultilevel"/>
    <w:lvl w:ilvl="0" w:tentative="1">
      <w:start w:val="1"/>
      <w:numFmt w:val="decimal"/>
      <w:lvlText w:val="%1."/>
      <w:lvlJc w:val="left"/>
      <w:pPr>
        <w:ind w:left="540" w:hanging="360"/>
      </w:pPr>
    </w:lvl>
  </w:abstractNum>
  <w:abstractNum w:abstractNumId="5" w15:restartNumberingAfterBreak="0">
    <w:multiLevelType w:val="hybridMultilevel"/>
    <w:lvl w:ilvl="0" w:tentative="1">
      <w:start w:val="1"/>
      <w:numFmt w:val="decimal"/>
      <w:lvlText w:val="%1."/>
      <w:lvlJc w:val="left"/>
      <w:pPr>
        <w:ind w:left="540" w:hanging="360"/>
      </w:pPr>
    </w:lvl>
  </w:abstractNum>
  <w:abstractNum w:abstractNumId="6" w15:restartNumberingAfterBreak="0">
    <w:multiLevelType w:val="hybridMultilevel"/>
    <w:lvl w:ilvl="0" w:tentative="1">
      <w:start w:val="1"/>
      <w:numFmt w:val="decimal"/>
      <w:lvlText w:val="%1."/>
      <w:lvlJc w:val="left"/>
      <w:pPr>
        <w:ind w:left="540" w:hanging="360"/>
      </w:pPr>
    </w:lvl>
  </w:abstractNum>
  <w:abstractNum w:abstractNumId="7" w15:restartNumberingAfterBreak="0">
    <w:multiLevelType w:val="hybridMultilevel"/>
    <w:lvl w:ilvl="0" w:tentative="1">
      <w:start w:val="1"/>
      <w:numFmt w:val="decimal"/>
      <w:lvlText w:val="%1."/>
      <w:lvlJc w:val="left"/>
      <w:pPr>
        <w:ind w:left="540" w:hanging="360"/>
      </w:pPr>
    </w:lvl>
  </w:abstractNum>
  <w:abstractNum w:abstractNumId="8" w15:restartNumberingAfterBreak="0">
    <w:multiLevelType w:val="hybridMultilevel"/>
    <w:lvl w:ilvl="0" w:tentative="1">
      <w:start w:val="1"/>
      <w:numFmt w:val="decimal"/>
      <w:lvlText w:val="%1."/>
      <w:lvlJc w:val="left"/>
      <w:pPr>
        <w:ind w:left="540" w:hanging="360"/>
      </w:pPr>
    </w:lvl>
  </w:abstractNum>
  <w:abstractNum w:abstractNumId="9" w15:restartNumberingAfterBreak="0">
    <w:multiLevelType w:val="hybridMultilevel"/>
    <w:lvl w:ilvl="0" w:tentative="1">
      <w:start w:val="1"/>
      <w:numFmt w:val="decimal"/>
      <w:lvlText w:val="%1."/>
      <w:lvlJc w:val="left"/>
      <w:pPr>
        <w:ind w:left="540" w:hanging="360"/>
      </w:pPr>
    </w:lvl>
  </w:abstractNum>
  <w:abstractNum w:abstractNumId="10"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 w:numId="7">
    <w:abstractNumId w:val="8"/>
    <w:lvlOverride w:ilvl="0">
      <w:startOverride w:val="1"/>
    </w:lvlOverride>
  </w:num>
  <w:num w:numId="8">
    <w:abstractNumId w:val="9"/>
    <w:lvlOverride w:ilvl="0">
      <w:startOverride w:val="1"/>
    </w:lvlOverride>
  </w:num>
  <w:num w:numId="9">
    <w:abstractNumId w:val="10"/>
    <w:lvlOverride w:ilvl="0">
      <w:startOverride w:val="1"/>
    </w:lvlOverride>
  </w:num>
  <w:num w:numId="10">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24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160" w:before="360"/>
      <w:outlineLvl w:val="0"/>
    </w:pPr>
    <w:rPr>
      <w:rFonts w:ascii="Arial" w:cs="Arial" w:eastAsia="Arial" w:hAnsi="Arial"/>
      <w:b/>
      <w:bCs/>
      <w:color w:val="1A2433"/>
      <w:sz w:val="34"/>
      <w:szCs w:val="34"/>
    </w:rPr>
  </w:style>
  <w:style w:type="paragraph" w:styleId="Heading2">
    <w:name w:val="Heading 2"/>
    <w:basedOn w:val="Normal"/>
    <w:next w:val="Normal"/>
    <w:qFormat/>
    <w:pPr>
      <w:spacing w:after="120" w:before="300"/>
      <w:outlineLvl w:val="1"/>
    </w:pPr>
    <w:rPr>
      <w:rFonts w:ascii="Arial" w:cs="Arial" w:eastAsia="Arial" w:hAnsi="Arial"/>
      <w:b/>
      <w:bCs/>
      <w:color w:val="1B63D6"/>
      <w:sz w:val="26"/>
      <w:szCs w:val="26"/>
    </w:rPr>
  </w:style>
  <w:style w:type="paragraph" w:styleId="Heading3">
    <w:name w:val="Heading 3"/>
    <w:basedOn w:val="Normal"/>
    <w:next w:val="Normal"/>
    <w:qFormat/>
    <w:pPr>
      <w:spacing w:after="100" w:before="220"/>
      <w:outlineLvl w:val="2"/>
    </w:pPr>
    <w:rPr>
      <w:rFonts w:ascii="Arial" w:cs="Arial" w:eastAsia="Arial" w:hAnsi="Arial"/>
      <w:b/>
      <w:bCs/>
      <w:color w:val="1A2433"/>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dc:title>
  <dc:creator>MG12 Design</dc:creator>
  <dc:description>Between MG12 Design (processor) and the organisation named below (controller), for the Syntalyze service</dc:description>
  <cp:lastModifiedBy>Un-named</cp:lastModifiedBy>
  <cp:revision>1</cp:revision>
  <dcterms:created xsi:type="dcterms:W3CDTF">2026-11-01T08:53:12.809Z</dcterms:created>
  <dcterms:modified xsi:type="dcterms:W3CDTF">2026-11-01T08:53:12.810Z</dcterms:modified>
</cp:coreProperties>
</file>

<file path=docProps/custom.xml><?xml version="1.0" encoding="utf-8"?>
<Properties xmlns="http://schemas.openxmlformats.org/officeDocument/2006/custom-properties" xmlns:vt="http://schemas.openxmlformats.org/officeDocument/2006/docPropsVTypes"/>
</file>