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1A2433"/>
          <w:sz w:val="44"/>
          <w:szCs w:val="44"/>
        </w:rPr>
        <w:t xml:space="preserve">Data protection impact assessment</w:t>
      </w:r>
    </w:p>
    <w:p>
      <w:pPr>
        <w:pBdr>
          <w:bottom w:val="single" w:color="1B63D6" w:sz="12" w:space="8"/>
        </w:pBdr>
        <w:spacing w:after="300"/>
      </w:pPr>
      <w:r>
        <w:rPr>
          <w:color w:val="5B6B80"/>
          <w:sz w:val="22"/>
          <w:szCs w:val="22"/>
        </w:rPr>
        <w:t xml:space="preserve">Template for an organisation adopting Syntalyze, following the ICO's seven steps, with the supplier's side completed</w:t>
      </w:r>
    </w:p>
    <w:p>
      <w:pPr>
        <w:spacing w:after="140"/>
      </w:pPr>
      <w:r>
        <w:rPr>
          <w:b/>
          <w:bCs/>
        </w:rPr>
        <w:t xml:space="preserve">How to use this template.</w:t>
      </w:r>
      <w:r>
        <w:t xml:space="preserve"> Text in plain paragraphs and tables is MG12 Design's description of how Syntalyze processes personal data, accurate at version 1.0, october 2026. Shaded boxes are for you: only you can decide your purposes, lawful basis, consultation and risk appetite. Delete this note, adjust anything that differs in your configuration, and have your Data Protection Officer review the result.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3"/>
        <w:gridCol w:w="6425"/>
      </w:tblGrid>
      <w:tr>
        <w:trPr>
          <w:cantSplit/>
        </w:trPr>
        <w:tc>
          <w:tcPr>
            <w:tcW w:type="dxa" w:w="321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b/>
                <w:bCs/>
                <w:sz w:val="19"/>
                <w:szCs w:val="19"/>
              </w:rPr>
              <w:t xml:space="preserve">Organisation</w:t>
            </w:r>
          </w:p>
        </w:tc>
        <w:tc>
          <w:tcPr>
            <w:tcW w:type="dxa" w:w="6425"/>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p>
        </w:tc>
      </w:tr>
      <w:tr>
        <w:trPr>
          <w:cantSplit/>
        </w:trPr>
        <w:tc>
          <w:tcPr>
            <w:tcW w:type="dxa" w:w="321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b/>
                <w:bCs/>
                <w:sz w:val="19"/>
                <w:szCs w:val="19"/>
              </w:rPr>
              <w:t xml:space="preserve">Project</w:t>
            </w:r>
          </w:p>
        </w:tc>
        <w:tc>
          <w:tcPr>
            <w:tcW w:type="dxa" w:w="6425"/>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Introducing Syntalyze for: </w:t>
            </w:r>
          </w:p>
        </w:tc>
      </w:tr>
      <w:tr>
        <w:trPr>
          <w:cantSplit/>
        </w:trPr>
        <w:tc>
          <w:tcPr>
            <w:tcW w:type="dxa" w:w="321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b/>
                <w:bCs/>
                <w:sz w:val="19"/>
                <w:szCs w:val="19"/>
              </w:rPr>
              <w:t xml:space="preserve">DPIA owner</w:t>
            </w:r>
          </w:p>
        </w:tc>
        <w:tc>
          <w:tcPr>
            <w:tcW w:type="dxa" w:w="6425"/>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p>
        </w:tc>
      </w:tr>
      <w:tr>
        <w:trPr>
          <w:cantSplit/>
        </w:trPr>
        <w:tc>
          <w:tcPr>
            <w:tcW w:type="dxa" w:w="321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b/>
                <w:bCs/>
                <w:sz w:val="19"/>
                <w:szCs w:val="19"/>
              </w:rPr>
              <w:t xml:space="preserve">Date and version</w:t>
            </w:r>
          </w:p>
        </w:tc>
        <w:tc>
          <w:tcPr>
            <w:tcW w:type="dxa" w:w="6425"/>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p>
        </w:tc>
      </w:tr>
    </w:tbl>
    <w:p>
      <w:pPr>
        <w:spacing w:after="120"/>
      </w:pPr>
    </w:p>
    <w:p>
      <w:pPr>
        <w:pStyle w:val="Heading2"/>
        <w:keepNext/>
      </w:pPr>
      <w:r>
        <w:t xml:space="preserve">Step 1: Identify the need for a DPIA</w:t>
      </w:r>
    </w:p>
    <w:p>
      <w:pPr>
        <w:spacing w:after="140"/>
      </w:pPr>
      <w:r>
        <w:t xml:space="preserve">A DPIA is likely to be required, or is good practice, because the project uses an innovative technology (language models) to process personal data of members of the public, may receive special category data that people volunteer in free text, and may involve people who are vulnerable.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9D3E0" w:sz="4"/>
              <w:left w:val="single" w:color="C9D3E0" w:sz="4"/>
              <w:bottom w:val="single" w:color="C9D3E0" w:sz="4"/>
              <w:right w:val="single" w:color="C9D3E0" w:sz="4"/>
            </w:tcBorders>
            <w:shd w:fill="F7F9FC" w:color="auto" w:val="clear"/>
            <w:tcMar>
              <w:top w:type="dxa" w:w="100"/>
              <w:left w:type="dxa" w:w="120"/>
              <w:bottom w:type="dxa" w:w="500"/>
              <w:right w:type="dxa" w:w="120"/>
            </w:tcMar>
          </w:tcPr>
          <w:p>
            <w:r>
              <w:rPr>
                <w:i/>
                <w:iCs/>
                <w:color w:val="5B6B80"/>
                <w:sz w:val="19"/>
                <w:szCs w:val="19"/>
              </w:rPr>
              <w:t xml:space="preserve">Summarise what the project aims to achieve, what processing it involves, and why you identified the need for a DPIA.</w:t>
            </w:r>
          </w:p>
        </w:tc>
      </w:tr>
    </w:tbl>
    <w:p>
      <w:pPr>
        <w:spacing w:after="120"/>
      </w:pPr>
    </w:p>
    <w:p>
      <w:pPr>
        <w:pStyle w:val="Heading2"/>
        <w:keepNext/>
      </w:pPr>
      <w:r>
        <w:t xml:space="preserve">Step 2: Describe the processing</w:t>
      </w:r>
    </w:p>
    <w:p>
      <w:pPr>
        <w:pStyle w:val="Heading3"/>
        <w:keepNext/>
      </w:pPr>
      <w:r>
        <w:t xml:space="preserve">Nature of the processing</w:t>
      </w:r>
    </w:p>
    <w:p>
      <w:pPr>
        <w:spacing w:after="140"/>
      </w:pPr>
      <w:r>
        <w:t xml:space="preserve">People use a chat assistant on your website (and, if you choose, on other channels). It answers from the knowledge you load: your web pages, documents and guides. Where you configure a workflow, the assistant collects the details needed to raise or progress a request (for example a repair, a missed collection or a complaint), creates a case, and can update your systems, send emails and hand the conversation to your staff. Staff work cases in the agent desktop; suppliers can work allocated jobs in the supplier portal.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5"/>
        <w:gridCol w:w="6803"/>
      </w:tblGrid>
      <w:tr>
        <w:trPr>
          <w:tblHeader/>
        </w:trPr>
        <w:tc>
          <w:tcPr>
            <w:tcW w:type="dxa" w:w="2835"/>
            <w:tcBorders>
              <w:top w:val="single" w:color="C9D3E0" w:sz="4"/>
              <w:left w:val="single" w:color="C9D3E0" w:sz="4"/>
              <w:bottom w:val="single" w:color="C9D3E0" w:sz="4"/>
              <w:right w:val="single" w:color="C9D3E0" w:sz="4"/>
            </w:tcBorders>
            <w:shd w:fill="EEF4FC" w:color="auto" w:val="clear"/>
            <w:tcMar>
              <w:top w:type="dxa" w:w="80"/>
              <w:left w:type="dxa" w:w="110"/>
              <w:bottom w:type="dxa" w:w="80"/>
              <w:right w:type="dxa" w:w="110"/>
            </w:tcMar>
          </w:tcPr>
          <w:p>
            <w:pPr>
              <w:spacing w:after="40"/>
            </w:pPr>
            <w:r>
              <w:rPr>
                <w:b/>
                <w:bCs/>
                <w:sz w:val="19"/>
                <w:szCs w:val="19"/>
              </w:rPr>
              <w:t xml:space="preserve">Question</w:t>
            </w:r>
          </w:p>
        </w:tc>
        <w:tc>
          <w:tcPr>
            <w:tcW w:type="dxa" w:w="6803"/>
            <w:tcBorders>
              <w:top w:val="single" w:color="C9D3E0" w:sz="4"/>
              <w:left w:val="single" w:color="C9D3E0" w:sz="4"/>
              <w:bottom w:val="single" w:color="C9D3E0" w:sz="4"/>
              <w:right w:val="single" w:color="C9D3E0" w:sz="4"/>
            </w:tcBorders>
            <w:shd w:fill="EEF4FC" w:color="auto" w:val="clear"/>
            <w:tcMar>
              <w:top w:type="dxa" w:w="80"/>
              <w:left w:type="dxa" w:w="110"/>
              <w:bottom w:type="dxa" w:w="80"/>
              <w:right w:type="dxa" w:w="110"/>
            </w:tcMar>
          </w:tcPr>
          <w:p>
            <w:pPr>
              <w:spacing w:after="40"/>
            </w:pPr>
            <w:r>
              <w:rPr>
                <w:b/>
                <w:bCs/>
                <w:sz w:val="19"/>
                <w:szCs w:val="19"/>
              </w:rPr>
              <w:t xml:space="preserve">Syntalyze</w:t>
            </w:r>
          </w:p>
        </w:tc>
      </w:tr>
      <w:tr>
        <w:trPr>
          <w:cantSplit/>
        </w:trPr>
        <w:tc>
          <w:tcPr>
            <w:tcW w:type="dxa" w:w="2835"/>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How is data collected?</w:t>
            </w:r>
          </w:p>
        </w:tc>
        <w:tc>
          <w:tcPr>
            <w:tcW w:type="dxa" w:w="680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Typed into the chat widget by the person; entered by your staff; imported from your systems or files you upload; returned by systems your workflows call.</w:t>
            </w:r>
          </w:p>
        </w:tc>
      </w:tr>
      <w:tr>
        <w:trPr>
          <w:cantSplit/>
        </w:trPr>
        <w:tc>
          <w:tcPr>
            <w:tcW w:type="dxa" w:w="2835"/>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How is it used?</w:t>
            </w:r>
          </w:p>
        </w:tc>
        <w:tc>
          <w:tcPr>
            <w:tcW w:type="dxa" w:w="680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To find and write answers, run your workflows, create and update cases, hand over to staff, and produce reports for you.</w:t>
            </w:r>
          </w:p>
        </w:tc>
      </w:tr>
      <w:tr>
        <w:trPr>
          <w:cantSplit/>
        </w:trPr>
        <w:tc>
          <w:tcPr>
            <w:tcW w:type="dxa" w:w="2835"/>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How is it stored?</w:t>
            </w:r>
          </w:p>
        </w:tc>
        <w:tc>
          <w:tcPr>
            <w:tcW w:type="dxa" w:w="680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In a PostgreSQL database on AWS in your hosting region. Message text, case details and customer records are encrypted field by field (AES-256-GCM) on top of encrypted storage.</w:t>
            </w:r>
          </w:p>
        </w:tc>
      </w:tr>
      <w:tr>
        <w:trPr>
          <w:cantSplit/>
        </w:trPr>
        <w:tc>
          <w:tcPr>
            <w:tcW w:type="dxa" w:w="2835"/>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Who has access?</w:t>
            </w:r>
          </w:p>
        </w:tc>
        <w:tc>
          <w:tcPr>
            <w:tcW w:type="dxa" w:w="680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Your staff, with the roles you assign. MG12 Design staff only to provide support you ask for or to keep the service secure.</w:t>
            </w:r>
          </w:p>
        </w:tc>
      </w:tr>
      <w:tr>
        <w:trPr>
          <w:cantSplit/>
        </w:trPr>
        <w:tc>
          <w:tcPr>
            <w:tcW w:type="dxa" w:w="2835"/>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Is any of it shared?</w:t>
            </w:r>
          </w:p>
        </w:tc>
        <w:tc>
          <w:tcPr>
            <w:tcW w:type="dxa" w:w="680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Only with the sub-processors listed below, and with any systems you connect through workflows.</w:t>
            </w:r>
          </w:p>
        </w:tc>
      </w:tr>
      <w:tr>
        <w:trPr>
          <w:cantSplit/>
        </w:trPr>
        <w:tc>
          <w:tcPr>
            <w:tcW w:type="dxa" w:w="2835"/>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Automated processing</w:t>
            </w:r>
          </w:p>
        </w:tc>
        <w:tc>
          <w:tcPr>
            <w:tcW w:type="dxa" w:w="680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Language models choose and phrase answers and may classify a request so the right workflow runs. Syntalyze does not make decisions with legal or similarly significant effects about a person on its own; any such decision is yours, through the workflows you design.</w:t>
            </w:r>
          </w:p>
        </w:tc>
      </w:tr>
    </w:tbl>
    <w:p>
      <w:pPr>
        <w:spacing w:after="120"/>
      </w:pPr>
    </w:p>
    <w:p>
      <w:pPr>
        <w:pStyle w:val="Heading3"/>
        <w:keepNext/>
      </w:pPr>
      <w:r>
        <w:t xml:space="preserve">Where the data goes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629"/>
        <w:gridCol w:w="2629"/>
        <w:gridCol w:w="1227"/>
        <w:gridCol w:w="1401"/>
      </w:tblGrid>
      <w:tr>
        <w:trPr>
          <w:tblHeader/>
        </w:trPr>
        <w:tc>
          <w:tcPr>
            <w:tcW w:type="dxa" w:w="1752"/>
            <w:tcBorders>
              <w:top w:val="single" w:color="C9D3E0" w:sz="4"/>
              <w:left w:val="single" w:color="C9D3E0" w:sz="4"/>
              <w:bottom w:val="single" w:color="C9D3E0" w:sz="4"/>
              <w:right w:val="single" w:color="C9D3E0" w:sz="4"/>
            </w:tcBorders>
            <w:shd w:fill="EEF4FC" w:color="auto" w:val="clear"/>
            <w:tcMar>
              <w:top w:type="dxa" w:w="80"/>
              <w:left w:type="dxa" w:w="110"/>
              <w:bottom w:type="dxa" w:w="80"/>
              <w:right w:type="dxa" w:w="110"/>
            </w:tcMar>
          </w:tcPr>
          <w:p>
            <w:pPr>
              <w:spacing w:after="40"/>
            </w:pPr>
            <w:r>
              <w:rPr>
                <w:b/>
                <w:bCs/>
                <w:sz w:val="19"/>
                <w:szCs w:val="19"/>
              </w:rPr>
              <w:t xml:space="preserve">Sub-processor</w:t>
            </w:r>
          </w:p>
        </w:tc>
        <w:tc>
          <w:tcPr>
            <w:tcW w:type="dxa" w:w="2629"/>
            <w:tcBorders>
              <w:top w:val="single" w:color="C9D3E0" w:sz="4"/>
              <w:left w:val="single" w:color="C9D3E0" w:sz="4"/>
              <w:bottom w:val="single" w:color="C9D3E0" w:sz="4"/>
              <w:right w:val="single" w:color="C9D3E0" w:sz="4"/>
            </w:tcBorders>
            <w:shd w:fill="EEF4FC" w:color="auto" w:val="clear"/>
            <w:tcMar>
              <w:top w:type="dxa" w:w="80"/>
              <w:left w:type="dxa" w:w="110"/>
              <w:bottom w:type="dxa" w:w="80"/>
              <w:right w:type="dxa" w:w="110"/>
            </w:tcMar>
          </w:tcPr>
          <w:p>
            <w:pPr>
              <w:spacing w:after="40"/>
            </w:pPr>
            <w:r>
              <w:rPr>
                <w:b/>
                <w:bCs/>
                <w:sz w:val="19"/>
                <w:szCs w:val="19"/>
              </w:rPr>
              <w:t xml:space="preserve">Purpose</w:t>
            </w:r>
          </w:p>
        </w:tc>
        <w:tc>
          <w:tcPr>
            <w:tcW w:type="dxa" w:w="2629"/>
            <w:tcBorders>
              <w:top w:val="single" w:color="C9D3E0" w:sz="4"/>
              <w:left w:val="single" w:color="C9D3E0" w:sz="4"/>
              <w:bottom w:val="single" w:color="C9D3E0" w:sz="4"/>
              <w:right w:val="single" w:color="C9D3E0" w:sz="4"/>
            </w:tcBorders>
            <w:shd w:fill="EEF4FC" w:color="auto" w:val="clear"/>
            <w:tcMar>
              <w:top w:type="dxa" w:w="80"/>
              <w:left w:type="dxa" w:w="110"/>
              <w:bottom w:type="dxa" w:w="80"/>
              <w:right w:type="dxa" w:w="110"/>
            </w:tcMar>
          </w:tcPr>
          <w:p>
            <w:pPr>
              <w:spacing w:after="40"/>
            </w:pPr>
            <w:r>
              <w:rPr>
                <w:b/>
                <w:bCs/>
                <w:sz w:val="19"/>
                <w:szCs w:val="19"/>
              </w:rPr>
              <w:t xml:space="preserve">Data involved</w:t>
            </w:r>
          </w:p>
        </w:tc>
        <w:tc>
          <w:tcPr>
            <w:tcW w:type="dxa" w:w="1227"/>
            <w:tcBorders>
              <w:top w:val="single" w:color="C9D3E0" w:sz="4"/>
              <w:left w:val="single" w:color="C9D3E0" w:sz="4"/>
              <w:bottom w:val="single" w:color="C9D3E0" w:sz="4"/>
              <w:right w:val="single" w:color="C9D3E0" w:sz="4"/>
            </w:tcBorders>
            <w:shd w:fill="EEF4FC" w:color="auto" w:val="clear"/>
            <w:tcMar>
              <w:top w:type="dxa" w:w="80"/>
              <w:left w:type="dxa" w:w="110"/>
              <w:bottom w:type="dxa" w:w="80"/>
              <w:right w:type="dxa" w:w="110"/>
            </w:tcMar>
          </w:tcPr>
          <w:p>
            <w:pPr>
              <w:spacing w:after="40"/>
            </w:pPr>
            <w:r>
              <w:rPr>
                <w:b/>
                <w:bCs/>
                <w:sz w:val="19"/>
                <w:szCs w:val="19"/>
              </w:rPr>
              <w:t xml:space="preserve">Location</w:t>
            </w:r>
          </w:p>
        </w:tc>
        <w:tc>
          <w:tcPr>
            <w:tcW w:type="dxa" w:w="1401"/>
            <w:tcBorders>
              <w:top w:val="single" w:color="C9D3E0" w:sz="4"/>
              <w:left w:val="single" w:color="C9D3E0" w:sz="4"/>
              <w:bottom w:val="single" w:color="C9D3E0" w:sz="4"/>
              <w:right w:val="single" w:color="C9D3E0" w:sz="4"/>
            </w:tcBorders>
            <w:shd w:fill="EEF4FC" w:color="auto" w:val="clear"/>
            <w:tcMar>
              <w:top w:type="dxa" w:w="80"/>
              <w:left w:type="dxa" w:w="110"/>
              <w:bottom w:type="dxa" w:w="80"/>
              <w:right w:type="dxa" w:w="110"/>
            </w:tcMar>
          </w:tcPr>
          <w:p>
            <w:pPr>
              <w:spacing w:after="40"/>
            </w:pPr>
            <w:r>
              <w:rPr>
                <w:b/>
                <w:bCs/>
                <w:sz w:val="19"/>
                <w:szCs w:val="19"/>
              </w:rPr>
              <w:t xml:space="preserve">Used</w:t>
            </w:r>
          </w:p>
        </w:tc>
      </w:tr>
      <w:tr>
        <w:trPr>
          <w:cantSplit/>
        </w:trPr>
        <w:tc>
          <w:tcPr>
            <w:tcW w:type="dxa" w:w="1752"/>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Amazon Web Services EMEA SARL</w:t>
            </w:r>
          </w:p>
        </w:tc>
        <w:tc>
          <w:tcPr>
            <w:tcW w:type="dxa" w:w="2629"/>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Hosting: servers, database, backups, file storage, outbound email, text to speech</w:t>
            </w:r>
          </w:p>
        </w:tc>
        <w:tc>
          <w:tcPr>
            <w:tcW w:type="dxa" w:w="2629"/>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All service data</w:t>
            </w:r>
          </w:p>
        </w:tc>
        <w:tc>
          <w:tcPr>
            <w:tcW w:type="dxa" w:w="1227"/>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Your region (see above)</w:t>
            </w:r>
          </w:p>
        </w:tc>
        <w:tc>
          <w:tcPr>
            <w:tcW w:type="dxa" w:w="140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Always</w:t>
            </w:r>
          </w:p>
        </w:tc>
      </w:tr>
      <w:tr>
        <w:trPr>
          <w:cantSplit/>
        </w:trPr>
        <w:tc>
          <w:tcPr>
            <w:tcW w:type="dxa" w:w="1752"/>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OpenAI, L.L.C.</w:t>
            </w:r>
          </w:p>
        </w:tc>
        <w:tc>
          <w:tcPr>
            <w:tcW w:type="dxa" w:w="2629"/>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Language models that write answers, route questions, translate, and turn speech into text</w:t>
            </w:r>
          </w:p>
        </w:tc>
        <w:tc>
          <w:tcPr>
            <w:tcW w:type="dxa" w:w="2629"/>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Questions, recent conversation, the knowledge passages used for the answer, and workflow fields an AI step is given</w:t>
            </w:r>
          </w:p>
        </w:tc>
        <w:tc>
          <w:tcPr>
            <w:tcW w:type="dxa" w:w="1227"/>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United States</w:t>
            </w:r>
          </w:p>
        </w:tc>
        <w:tc>
          <w:tcPr>
            <w:tcW w:type="dxa" w:w="140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Always</w:t>
            </w:r>
          </w:p>
        </w:tc>
      </w:tr>
      <w:tr>
        <w:trPr>
          <w:cantSplit/>
        </w:trPr>
        <w:tc>
          <w:tcPr>
            <w:tcW w:type="dxa" w:w="1752"/>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Google LLC (Maps Platform)</w:t>
            </w:r>
          </w:p>
        </w:tc>
        <w:tc>
          <w:tcPr>
            <w:tcW w:type="dxa" w:w="2629"/>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Geocoding and travel times for scheduling field technicians</w:t>
            </w:r>
          </w:p>
        </w:tc>
        <w:tc>
          <w:tcPr>
            <w:tcW w:type="dxa" w:w="2629"/>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Job addresses</w:t>
            </w:r>
          </w:p>
        </w:tc>
        <w:tc>
          <w:tcPr>
            <w:tcW w:type="dxa" w:w="1227"/>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United States</w:t>
            </w:r>
          </w:p>
        </w:tc>
        <w:tc>
          <w:tcPr>
            <w:tcW w:type="dxa" w:w="140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Only if you use technician scheduling</w:t>
            </w:r>
          </w:p>
        </w:tc>
      </w:tr>
      <w:tr>
        <w:trPr>
          <w:cantSplit/>
        </w:trPr>
        <w:tc>
          <w:tcPr>
            <w:tcW w:type="dxa" w:w="1752"/>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Trustpilot A/S</w:t>
            </w:r>
          </w:p>
        </w:tc>
        <w:tc>
          <w:tcPr>
            <w:tcW w:type="dxa" w:w="2629"/>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Importing your public reviews</w:t>
            </w:r>
          </w:p>
        </w:tc>
        <w:tc>
          <w:tcPr>
            <w:tcW w:type="dxa" w:w="2629"/>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Your account connection; reviews are read, not sent</w:t>
            </w:r>
          </w:p>
        </w:tc>
        <w:tc>
          <w:tcPr>
            <w:tcW w:type="dxa" w:w="1227"/>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European Union</w:t>
            </w:r>
          </w:p>
        </w:tc>
        <w:tc>
          <w:tcPr>
            <w:tcW w:type="dxa" w:w="140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Only if you connect Trustpilot</w:t>
            </w:r>
          </w:p>
        </w:tc>
      </w:tr>
    </w:tbl>
    <w:p>
      <w:pPr>
        <w:spacing w:after="120"/>
      </w:pPr>
    </w:p>
    <w:p>
      <w:pPr>
        <w:pStyle w:val="ListParagraph"/>
        <w:numPr>
          <w:ilvl w:val="0"/>
          <w:numId w:val="2"/>
        </w:numPr>
        <w:spacing w:after="70"/>
      </w:pPr>
      <w:r>
        <w:t xml:space="preserve">OpenAI does not use data sent through its API to train or improve its models.</w:t>
      </w:r>
    </w:p>
    <w:p>
      <w:pPr>
        <w:pStyle w:val="ListParagraph"/>
        <w:numPr>
          <w:ilvl w:val="0"/>
          <w:numId w:val="2"/>
        </w:numPr>
        <w:spacing w:after="70"/>
      </w:pPr>
      <w:r>
        <w:t xml:space="preserve">OpenAI keeps API requests in abuse-monitoring logs for up to 30 days, unless the law requires longer.</w:t>
      </w:r>
    </w:p>
    <w:p>
      <w:pPr>
        <w:pStyle w:val="ListParagraph"/>
        <w:numPr>
          <w:ilvl w:val="0"/>
          <w:numId w:val="2"/>
        </w:numPr>
        <w:spacing w:after="70"/>
      </w:pPr>
      <w:r>
        <w:t xml:space="preserve">Syntalyze uses the Chat Completions API, which stores no conversation state at OpenAI.</w:t>
      </w:r>
    </w:p>
    <w:p>
      <w:pPr>
        <w:pStyle w:val="ListParagraph"/>
        <w:numPr>
          <w:ilvl w:val="0"/>
          <w:numId w:val="2"/>
        </w:numPr>
        <w:spacing w:after="70"/>
      </w:pPr>
      <w:r>
        <w:t xml:space="preserve">The transfer to the United States is made under the UK International Data Transfer Addendum, as part of our data processing agreement with OpenAI.</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9D3E0" w:sz="4"/>
              <w:left w:val="single" w:color="C9D3E0" w:sz="4"/>
              <w:bottom w:val="single" w:color="C9D3E0" w:sz="4"/>
              <w:right w:val="single" w:color="C9D3E0" w:sz="4"/>
            </w:tcBorders>
            <w:shd w:fill="F7F9FC" w:color="auto" w:val="clear"/>
            <w:tcMar>
              <w:top w:type="dxa" w:w="100"/>
              <w:left w:type="dxa" w:w="120"/>
              <w:bottom w:type="dxa" w:w="500"/>
              <w:right w:type="dxa" w:w="120"/>
            </w:tcMar>
          </w:tcPr>
          <w:p>
            <w:r>
              <w:rPr>
                <w:i/>
                <w:iCs/>
                <w:color w:val="5B6B80"/>
                <w:sz w:val="19"/>
                <w:szCs w:val="19"/>
              </w:rPr>
              <w:t xml:space="preserve">Add any systems you will connect (housing management, CRM, waste system, email), and what data passes to each.</w:t>
            </w:r>
          </w:p>
        </w:tc>
      </w:tr>
    </w:tbl>
    <w:p>
      <w:pPr>
        <w:spacing w:after="120"/>
      </w:pPr>
    </w:p>
    <w:p>
      <w:pPr>
        <w:pStyle w:val="Heading3"/>
        <w:keepNext/>
      </w:pPr>
      <w:r>
        <w:t xml:space="preserve">Scope of the processing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5"/>
        <w:gridCol w:w="6803"/>
      </w:tblGrid>
      <w:tr>
        <w:trPr>
          <w:tblHeader/>
        </w:trPr>
        <w:tc>
          <w:tcPr>
            <w:tcW w:type="dxa" w:w="2835"/>
            <w:tcBorders>
              <w:top w:val="single" w:color="C9D3E0" w:sz="4"/>
              <w:left w:val="single" w:color="C9D3E0" w:sz="4"/>
              <w:bottom w:val="single" w:color="C9D3E0" w:sz="4"/>
              <w:right w:val="single" w:color="C9D3E0" w:sz="4"/>
            </w:tcBorders>
            <w:shd w:fill="EEF4FC" w:color="auto" w:val="clear"/>
            <w:tcMar>
              <w:top w:type="dxa" w:w="80"/>
              <w:left w:type="dxa" w:w="110"/>
              <w:bottom w:type="dxa" w:w="80"/>
              <w:right w:type="dxa" w:w="110"/>
            </w:tcMar>
          </w:tcPr>
          <w:p>
            <w:pPr>
              <w:spacing w:after="40"/>
            </w:pPr>
            <w:r>
              <w:rPr>
                <w:b/>
                <w:bCs/>
                <w:sz w:val="19"/>
                <w:szCs w:val="19"/>
              </w:rPr>
              <w:t xml:space="preserve">Question</w:t>
            </w:r>
          </w:p>
        </w:tc>
        <w:tc>
          <w:tcPr>
            <w:tcW w:type="dxa" w:w="6803"/>
            <w:tcBorders>
              <w:top w:val="single" w:color="C9D3E0" w:sz="4"/>
              <w:left w:val="single" w:color="C9D3E0" w:sz="4"/>
              <w:bottom w:val="single" w:color="C9D3E0" w:sz="4"/>
              <w:right w:val="single" w:color="C9D3E0" w:sz="4"/>
            </w:tcBorders>
            <w:shd w:fill="EEF4FC" w:color="auto" w:val="clear"/>
            <w:tcMar>
              <w:top w:type="dxa" w:w="80"/>
              <w:left w:type="dxa" w:w="110"/>
              <w:bottom w:type="dxa" w:w="80"/>
              <w:right w:type="dxa" w:w="110"/>
            </w:tcMar>
          </w:tcPr>
          <w:p>
            <w:pPr>
              <w:spacing w:after="40"/>
            </w:pPr>
            <w:r>
              <w:rPr>
                <w:b/>
                <w:bCs/>
                <w:sz w:val="19"/>
                <w:szCs w:val="19"/>
              </w:rPr>
              <w:t xml:space="preserve">Syntalyze</w:t>
            </w:r>
          </w:p>
        </w:tc>
      </w:tr>
      <w:tr>
        <w:trPr>
          <w:cantSplit/>
        </w:trPr>
        <w:tc>
          <w:tcPr>
            <w:tcW w:type="dxa" w:w="2835"/>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Types of personal data</w:t>
            </w:r>
          </w:p>
        </w:tc>
        <w:tc>
          <w:tcPr>
            <w:tcW w:type="dxa" w:w="680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Name, email, phone, address, customer or account reference; messages; case details and the fields your workflows collect; staff and supplier account details; session identifiers. IP addresses only if you switch that on.</w:t>
            </w:r>
          </w:p>
        </w:tc>
      </w:tr>
      <w:tr>
        <w:trPr>
          <w:cantSplit/>
        </w:trPr>
        <w:tc>
          <w:tcPr>
            <w:tcW w:type="dxa" w:w="2835"/>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Special category data</w:t>
            </w:r>
          </w:p>
        </w:tc>
        <w:tc>
          <w:tcPr>
            <w:tcW w:type="dxa" w:w="680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Not requested unless you design a workflow that asks for it, but people may volunteer it, such as health details in a repair report or a complaint.</w:t>
            </w:r>
          </w:p>
        </w:tc>
      </w:tr>
      <w:tr>
        <w:trPr>
          <w:cantSplit/>
        </w:trPr>
        <w:tc>
          <w:tcPr>
            <w:tcW w:type="dxa" w:w="2835"/>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Retention</w:t>
            </w:r>
          </w:p>
        </w:tc>
        <w:tc>
          <w:tcPr>
            <w:tcW w:type="dxa" w:w="680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You set retention for conversations, closed cases and session records in the client portal; a daily job deletes what has expired. Without a setting, data is kept for the life of the contract.</w:t>
            </w:r>
          </w:p>
        </w:tc>
      </w:tr>
      <w:tr>
        <w:trPr>
          <w:cantSplit/>
        </w:trPr>
        <w:tc>
          <w:tcPr>
            <w:tcW w:type="dxa" w:w="2835"/>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Hosting</w:t>
            </w:r>
          </w:p>
        </w:tc>
        <w:tc>
          <w:tcPr>
            <w:tcW w:type="dxa" w:w="680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Organisations in the UK: Amazon Web Services, London (eu-west-2).</w:t>
            </w:r>
          </w:p>
          <w:p>
            <w:pPr>
              <w:spacing w:after="40"/>
            </w:pPr>
            <w:r>
              <w:rPr>
                <w:sz w:val="19"/>
                <w:szCs w:val="19"/>
              </w:rPr>
              <w:t xml:space="preserve">Organisations in South Africa: Amazon Web Services, Cape Town (af-south-1).</w:t>
            </w:r>
          </w:p>
          <w:p>
            <w:pPr>
              <w:spacing w:after="40"/>
            </w:pPr>
            <w:r>
              <w:rPr>
                <w:sz w:val="19"/>
                <w:szCs w:val="19"/>
              </w:rPr>
              <w:t xml:space="preserve">Organisations anywhere else: Amazon Web Services, the region in your country, or the nearest one where AWS has none.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9D3E0" w:sz="4"/>
              <w:left w:val="single" w:color="C9D3E0" w:sz="4"/>
              <w:bottom w:val="single" w:color="C9D3E0" w:sz="4"/>
              <w:right w:val="single" w:color="C9D3E0" w:sz="4"/>
            </w:tcBorders>
            <w:shd w:fill="F7F9FC" w:color="auto" w:val="clear"/>
            <w:tcMar>
              <w:top w:type="dxa" w:w="100"/>
              <w:left w:type="dxa" w:w="120"/>
              <w:bottom w:type="dxa" w:w="500"/>
              <w:right w:type="dxa" w:w="120"/>
            </w:tcMar>
          </w:tcPr>
          <w:p>
            <w:r>
              <w:rPr>
                <w:i/>
                <w:iCs/>
                <w:color w:val="5B6B80"/>
                <w:sz w:val="19"/>
                <w:szCs w:val="19"/>
              </w:rPr>
              <w:t xml:space="preserve">How many people will use it, roughly how many conversations a month, and the geographical area. Will you collect special category or criminal offence data on purpose? What retention periods will you set, and why?</w:t>
            </w:r>
          </w:p>
        </w:tc>
      </w:tr>
    </w:tbl>
    <w:p>
      <w:pPr>
        <w:spacing w:after="120"/>
      </w:pPr>
    </w:p>
    <w:p>
      <w:pPr>
        <w:pStyle w:val="Heading3"/>
        <w:keepNext/>
      </w:pPr>
      <w:r>
        <w:t xml:space="preserve">Context of the processing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9D3E0" w:sz="4"/>
              <w:left w:val="single" w:color="C9D3E0" w:sz="4"/>
              <w:bottom w:val="single" w:color="C9D3E0" w:sz="4"/>
              <w:right w:val="single" w:color="C9D3E0" w:sz="4"/>
            </w:tcBorders>
            <w:shd w:fill="F7F9FC" w:color="auto" w:val="clear"/>
            <w:tcMar>
              <w:top w:type="dxa" w:w="100"/>
              <w:left w:type="dxa" w:w="120"/>
              <w:bottom w:type="dxa" w:w="500"/>
              <w:right w:type="dxa" w:w="120"/>
            </w:tcMar>
          </w:tcPr>
          <w:p>
            <w:r>
              <w:rPr>
                <w:i/>
                <w:iCs/>
                <w:color w:val="5B6B80"/>
                <w:sz w:val="19"/>
                <w:szCs w:val="19"/>
              </w:rPr>
              <w:t xml:space="preserve">Your relationship with the people concerned; how much control they will have; whether they would expect this use; whether any are children or vulnerable; prior concerns or security flaws with this type of processing; the state of the technology; any approved code of conduct or certification you rely on.</w:t>
            </w:r>
          </w:p>
        </w:tc>
      </w:tr>
    </w:tbl>
    <w:p>
      <w:pPr>
        <w:spacing w:after="120"/>
      </w:pPr>
    </w:p>
    <w:p>
      <w:pPr>
        <w:spacing w:after="140"/>
      </w:pPr>
      <w:r>
        <w:t xml:space="preserve">Supplier context: the assistant shows a notice that it is an automated assistant for the whole conversation. People can ask for a person at any point where you have set up a hand-over route. The widget is designed to meet WCAG 2.2 AA; see the accessibility statement at syntalyze.com/trust/accessibility/.</w:t>
      </w:r>
    </w:p>
    <w:p>
      <w:pPr>
        <w:pStyle w:val="Heading3"/>
        <w:keepNext/>
      </w:pPr>
      <w:r>
        <w:t xml:space="preserve">Purposes of the processing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9D3E0" w:sz="4"/>
              <w:left w:val="single" w:color="C9D3E0" w:sz="4"/>
              <w:bottom w:val="single" w:color="C9D3E0" w:sz="4"/>
              <w:right w:val="single" w:color="C9D3E0" w:sz="4"/>
            </w:tcBorders>
            <w:shd w:fill="F7F9FC" w:color="auto" w:val="clear"/>
            <w:tcMar>
              <w:top w:type="dxa" w:w="100"/>
              <w:left w:type="dxa" w:w="120"/>
              <w:bottom w:type="dxa" w:w="500"/>
              <w:right w:type="dxa" w:w="120"/>
            </w:tcMar>
          </w:tcPr>
          <w:p>
            <w:r>
              <w:rPr>
                <w:i/>
                <w:iCs/>
                <w:color w:val="5B6B80"/>
                <w:sz w:val="19"/>
                <w:szCs w:val="19"/>
              </w:rPr>
              <w:t xml:space="preserve">What you want to achieve, the intended effect on people, and the benefits for you and for them (for example: answers at any hour, fewer calls waiting, requests captured complete first time).</w:t>
            </w:r>
          </w:p>
        </w:tc>
      </w:tr>
    </w:tbl>
    <w:p>
      <w:pPr>
        <w:spacing w:after="120"/>
      </w:pPr>
    </w:p>
    <w:p>
      <w:pPr>
        <w:pStyle w:val="Heading2"/>
        <w:keepNext/>
      </w:pPr>
      <w:r>
        <w:t xml:space="preserve">Step 3: Consultation process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9D3E0" w:sz="4"/>
              <w:left w:val="single" w:color="C9D3E0" w:sz="4"/>
              <w:bottom w:val="single" w:color="C9D3E0" w:sz="4"/>
              <w:right w:val="single" w:color="C9D3E0" w:sz="4"/>
            </w:tcBorders>
            <w:shd w:fill="F7F9FC" w:color="auto" w:val="clear"/>
            <w:tcMar>
              <w:top w:type="dxa" w:w="100"/>
              <w:left w:type="dxa" w:w="120"/>
              <w:bottom w:type="dxa" w:w="500"/>
              <w:right w:type="dxa" w:w="120"/>
            </w:tcMar>
          </w:tcPr>
          <w:p>
            <w:r>
              <w:rPr>
                <w:i/>
                <w:iCs/>
                <w:color w:val="5B6B80"/>
                <w:sz w:val="19"/>
                <w:szCs w:val="19"/>
              </w:rPr>
              <w:t xml:space="preserve">How and when you will consult people or their representatives (tenant or resident panels), your DPO, information security, accessibility and equality leads, and the supplier. Note what each said.</w:t>
            </w:r>
          </w:p>
        </w:tc>
      </w:tr>
    </w:tbl>
    <w:p>
      <w:pPr>
        <w:spacing w:after="120"/>
      </w:pPr>
    </w:p>
    <w:p>
      <w:pPr>
        <w:spacing w:after="140"/>
      </w:pPr>
      <w:r>
        <w:t xml:space="preserve">MG12 Design will answer questions from your DPO and security team, and complete your security questionnaire. Contact hello@mg12.design.</w:t>
      </w:r>
    </w:p>
    <w:p>
      <w:pPr>
        <w:pStyle w:val="Heading2"/>
        <w:keepNext/>
      </w:pPr>
      <w:r>
        <w:t xml:space="preserve">Step 4: Assess necessity and proportionality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9D3E0" w:sz="4"/>
              <w:left w:val="single" w:color="C9D3E0" w:sz="4"/>
              <w:bottom w:val="single" w:color="C9D3E0" w:sz="4"/>
              <w:right w:val="single" w:color="C9D3E0" w:sz="4"/>
            </w:tcBorders>
            <w:shd w:fill="F7F9FC" w:color="auto" w:val="clear"/>
            <w:tcMar>
              <w:top w:type="dxa" w:w="100"/>
              <w:left w:type="dxa" w:w="120"/>
              <w:bottom w:type="dxa" w:w="500"/>
              <w:right w:type="dxa" w:w="120"/>
            </w:tcMar>
          </w:tcPr>
          <w:p>
            <w:r>
              <w:rPr>
                <w:i/>
                <w:iCs/>
                <w:color w:val="5B6B80"/>
                <w:sz w:val="19"/>
                <w:szCs w:val="19"/>
              </w:rPr>
              <w:t xml:space="preserve">Your lawful basis (for most public bodies, Article 6(1)(e) public task; for associations, legitimate interests or contract) and, for special category data, your Article 9 condition. Does the processing achieve your purpose, and is there another way to achieve it? How will you prevent function creep, ensure data quality and minimisation, inform people, and support their rights?</w:t>
            </w:r>
          </w:p>
        </w:tc>
      </w:tr>
    </w:tbl>
    <w:p>
      <w:pPr>
        <w:spacing w:after="120"/>
      </w:pPr>
    </w:p>
    <w:p>
      <w:pPr>
        <w:spacing w:after="140"/>
      </w:pPr>
      <w:r>
        <w:t xml:space="preserve">Supplier measures that support this assessment:</w:t>
      </w:r>
    </w:p>
    <w:p>
      <w:pPr>
        <w:pStyle w:val="ListParagraph"/>
        <w:numPr>
          <w:ilvl w:val="0"/>
          <w:numId w:val="2"/>
        </w:numPr>
        <w:spacing w:after="70"/>
      </w:pPr>
      <w:r>
        <w:t xml:space="preserve">Minimisation: workflows collect only the fields you define; IP addresses are off by default; optional redaction removes contact and card details, names and addresses from stored conversations.</w:t>
      </w:r>
    </w:p>
    <w:p>
      <w:pPr>
        <w:pStyle w:val="ListParagraph"/>
        <w:numPr>
          <w:ilvl w:val="0"/>
          <w:numId w:val="2"/>
        </w:numPr>
        <w:spacing w:after="70"/>
      </w:pPr>
      <w:r>
        <w:t xml:space="preserve">Data quality: answers come only from the knowledge you load; staff can review conversations and the feedback people give on each answer, and correct the content.</w:t>
      </w:r>
    </w:p>
    <w:p>
      <w:pPr>
        <w:pStyle w:val="ListParagraph"/>
        <w:numPr>
          <w:ilvl w:val="0"/>
          <w:numId w:val="2"/>
        </w:numPr>
        <w:spacing w:after="70"/>
      </w:pPr>
      <w:r>
        <w:t xml:space="preserve">Rights: staff can find, export and erase a person's data from the client portal.</w:t>
      </w:r>
    </w:p>
    <w:p>
      <w:pPr>
        <w:pStyle w:val="ListParagraph"/>
        <w:numPr>
          <w:ilvl w:val="0"/>
          <w:numId w:val="2"/>
        </w:numPr>
        <w:spacing w:after="70"/>
      </w:pPr>
      <w:r>
        <w:t xml:space="preserve">Processor terms: a data processing agreement under Article 28 UK GDPR, with the sub-processors and transfer terms above.</w:t>
      </w:r>
    </w:p>
    <w:p>
      <w:pPr>
        <w:pStyle w:val="ListParagraph"/>
        <w:numPr>
          <w:ilvl w:val="0"/>
          <w:numId w:val="2"/>
        </w:numPr>
        <w:spacing w:after="70"/>
      </w:pPr>
      <w:r>
        <w:t xml:space="preserve">No use of your data, or your customers' data, to train AI models.</w:t>
      </w:r>
    </w:p>
    <w:p>
      <w:pPr>
        <w:pStyle w:val="Heading2"/>
        <w:keepNext/>
      </w:pPr>
      <w:r>
        <w:t xml:space="preserve">Step 5: Identify and assess risks</w:t>
      </w:r>
    </w:p>
    <w:p>
      <w:pPr>
        <w:spacing w:after="120"/>
      </w:pPr>
      <w:r>
        <w:rPr>
          <w:color w:val="5B6B80"/>
          <w:sz w:val="18"/>
          <w:szCs w:val="18"/>
        </w:rPr>
        <w:t xml:space="preserve">Likelihood: remote, possible or probable. Severity: minimal, significant or severe. Overall risk: low, medium or high. The ratings below are a starting point for the risk before the measures in Step 6; replace them with your own judgement.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1606"/>
        <w:gridCol w:w="1606"/>
        <w:gridCol w:w="1607"/>
      </w:tblGrid>
      <w:tr>
        <w:trPr>
          <w:tblHeader/>
        </w:trPr>
        <w:tc>
          <w:tcPr>
            <w:tcW w:type="dxa" w:w="4819"/>
            <w:tcBorders>
              <w:top w:val="single" w:color="C9D3E0" w:sz="4"/>
              <w:left w:val="single" w:color="C9D3E0" w:sz="4"/>
              <w:bottom w:val="single" w:color="C9D3E0" w:sz="4"/>
              <w:right w:val="single" w:color="C9D3E0" w:sz="4"/>
            </w:tcBorders>
            <w:shd w:fill="EEF4FC" w:color="auto" w:val="clear"/>
            <w:tcMar>
              <w:top w:type="dxa" w:w="80"/>
              <w:left w:type="dxa" w:w="110"/>
              <w:bottom w:type="dxa" w:w="80"/>
              <w:right w:type="dxa" w:w="110"/>
            </w:tcMar>
          </w:tcPr>
          <w:p>
            <w:pPr>
              <w:spacing w:after="40"/>
            </w:pPr>
            <w:r>
              <w:rPr>
                <w:b/>
                <w:bCs/>
                <w:sz w:val="19"/>
                <w:szCs w:val="19"/>
              </w:rPr>
              <w:t xml:space="preserve">Risk to individuals</w:t>
            </w:r>
          </w:p>
        </w:tc>
        <w:tc>
          <w:tcPr>
            <w:tcW w:type="dxa" w:w="1606"/>
            <w:tcBorders>
              <w:top w:val="single" w:color="C9D3E0" w:sz="4"/>
              <w:left w:val="single" w:color="C9D3E0" w:sz="4"/>
              <w:bottom w:val="single" w:color="C9D3E0" w:sz="4"/>
              <w:right w:val="single" w:color="C9D3E0" w:sz="4"/>
            </w:tcBorders>
            <w:shd w:fill="EEF4FC" w:color="auto" w:val="clear"/>
            <w:tcMar>
              <w:top w:type="dxa" w:w="80"/>
              <w:left w:type="dxa" w:w="110"/>
              <w:bottom w:type="dxa" w:w="80"/>
              <w:right w:type="dxa" w:w="110"/>
            </w:tcMar>
          </w:tcPr>
          <w:p>
            <w:pPr>
              <w:spacing w:after="40"/>
            </w:pPr>
            <w:r>
              <w:rPr>
                <w:b/>
                <w:bCs/>
                <w:sz w:val="19"/>
                <w:szCs w:val="19"/>
              </w:rPr>
              <w:t xml:space="preserve">Likelihood</w:t>
            </w:r>
          </w:p>
        </w:tc>
        <w:tc>
          <w:tcPr>
            <w:tcW w:type="dxa" w:w="1606"/>
            <w:tcBorders>
              <w:top w:val="single" w:color="C9D3E0" w:sz="4"/>
              <w:left w:val="single" w:color="C9D3E0" w:sz="4"/>
              <w:bottom w:val="single" w:color="C9D3E0" w:sz="4"/>
              <w:right w:val="single" w:color="C9D3E0" w:sz="4"/>
            </w:tcBorders>
            <w:shd w:fill="EEF4FC" w:color="auto" w:val="clear"/>
            <w:tcMar>
              <w:top w:type="dxa" w:w="80"/>
              <w:left w:type="dxa" w:w="110"/>
              <w:bottom w:type="dxa" w:w="80"/>
              <w:right w:type="dxa" w:w="110"/>
            </w:tcMar>
          </w:tcPr>
          <w:p>
            <w:pPr>
              <w:spacing w:after="40"/>
            </w:pPr>
            <w:r>
              <w:rPr>
                <w:b/>
                <w:bCs/>
                <w:sz w:val="19"/>
                <w:szCs w:val="19"/>
              </w:rPr>
              <w:t xml:space="preserve">Severity</w:t>
            </w:r>
          </w:p>
        </w:tc>
        <w:tc>
          <w:tcPr>
            <w:tcW w:type="dxa" w:w="1607"/>
            <w:tcBorders>
              <w:top w:val="single" w:color="C9D3E0" w:sz="4"/>
              <w:left w:val="single" w:color="C9D3E0" w:sz="4"/>
              <w:bottom w:val="single" w:color="C9D3E0" w:sz="4"/>
              <w:right w:val="single" w:color="C9D3E0" w:sz="4"/>
            </w:tcBorders>
            <w:shd w:fill="EEF4FC" w:color="auto" w:val="clear"/>
            <w:tcMar>
              <w:top w:type="dxa" w:w="80"/>
              <w:left w:type="dxa" w:w="110"/>
              <w:bottom w:type="dxa" w:w="80"/>
              <w:right w:type="dxa" w:w="110"/>
            </w:tcMar>
          </w:tcPr>
          <w:p>
            <w:pPr>
              <w:spacing w:after="40"/>
            </w:pPr>
            <w:r>
              <w:rPr>
                <w:b/>
                <w:bCs/>
                <w:sz w:val="19"/>
                <w:szCs w:val="19"/>
              </w:rPr>
              <w:t xml:space="preserve">Overall risk</w:t>
            </w:r>
          </w:p>
        </w:tc>
      </w:tr>
      <w:tr>
        <w:trPr>
          <w:cantSplit/>
        </w:trPr>
        <w:tc>
          <w:tcPr>
            <w:tcW w:type="dxa" w:w="4819"/>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1. The assistant gives a wrong or out-of-date answer and the person acts on it (misses a deadline, reports a hazard the wrong way).</w:t>
            </w:r>
          </w:p>
        </w:tc>
        <w:tc>
          <w:tcPr>
            <w:tcW w:type="dxa" w:w="1606"/>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Possible</w:t>
            </w:r>
          </w:p>
        </w:tc>
        <w:tc>
          <w:tcPr>
            <w:tcW w:type="dxa" w:w="1606"/>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Significant</w:t>
            </w:r>
          </w:p>
        </w:tc>
        <w:tc>
          <w:tcPr>
            <w:tcW w:type="dxa" w:w="1607"/>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Medium</w:t>
            </w:r>
          </w:p>
        </w:tc>
      </w:tr>
      <w:tr>
        <w:trPr>
          <w:cantSplit/>
        </w:trPr>
        <w:tc>
          <w:tcPr>
            <w:tcW w:type="dxa" w:w="4819"/>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2. A person volunteers special category data (health, disability, family circumstances) in free text, which is then held longer or more widely than needed.</w:t>
            </w:r>
          </w:p>
        </w:tc>
        <w:tc>
          <w:tcPr>
            <w:tcW w:type="dxa" w:w="1606"/>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Probable</w:t>
            </w:r>
          </w:p>
        </w:tc>
        <w:tc>
          <w:tcPr>
            <w:tcW w:type="dxa" w:w="1606"/>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Significant</w:t>
            </w:r>
          </w:p>
        </w:tc>
        <w:tc>
          <w:tcPr>
            <w:tcW w:type="dxa" w:w="1607"/>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Medium</w:t>
            </w:r>
          </w:p>
        </w:tc>
      </w:tr>
      <w:tr>
        <w:trPr>
          <w:cantSplit/>
        </w:trPr>
        <w:tc>
          <w:tcPr>
            <w:tcW w:type="dxa" w:w="4819"/>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3. Unauthorised access to conversations or case records, by an outsider or by another organisation using the platform.</w:t>
            </w:r>
          </w:p>
        </w:tc>
        <w:tc>
          <w:tcPr>
            <w:tcW w:type="dxa" w:w="1606"/>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Remote</w:t>
            </w:r>
          </w:p>
        </w:tc>
        <w:tc>
          <w:tcPr>
            <w:tcW w:type="dxa" w:w="1606"/>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Severe</w:t>
            </w:r>
          </w:p>
        </w:tc>
        <w:tc>
          <w:tcPr>
            <w:tcW w:type="dxa" w:w="1607"/>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Medium</w:t>
            </w:r>
          </w:p>
        </w:tc>
      </w:tr>
      <w:tr>
        <w:trPr>
          <w:cantSplit/>
        </w:trPr>
        <w:tc>
          <w:tcPr>
            <w:tcW w:type="dxa" w:w="4819"/>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4. Personal data transferred to the United States for language model processing is accessed by public authorities or kept longer than expected.</w:t>
            </w:r>
          </w:p>
        </w:tc>
        <w:tc>
          <w:tcPr>
            <w:tcW w:type="dxa" w:w="1606"/>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Remote</w:t>
            </w:r>
          </w:p>
        </w:tc>
        <w:tc>
          <w:tcPr>
            <w:tcW w:type="dxa" w:w="1606"/>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Significant</w:t>
            </w:r>
          </w:p>
        </w:tc>
        <w:tc>
          <w:tcPr>
            <w:tcW w:type="dxa" w:w="1607"/>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Low</w:t>
            </w:r>
          </w:p>
        </w:tc>
      </w:tr>
      <w:tr>
        <w:trPr>
          <w:cantSplit/>
        </w:trPr>
        <w:tc>
          <w:tcPr>
            <w:tcW w:type="dxa" w:w="4819"/>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5. Data kept longer than necessary.</w:t>
            </w:r>
          </w:p>
        </w:tc>
        <w:tc>
          <w:tcPr>
            <w:tcW w:type="dxa" w:w="1606"/>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Possible</w:t>
            </w:r>
          </w:p>
        </w:tc>
        <w:tc>
          <w:tcPr>
            <w:tcW w:type="dxa" w:w="1606"/>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Significant</w:t>
            </w:r>
          </w:p>
        </w:tc>
        <w:tc>
          <w:tcPr>
            <w:tcW w:type="dxa" w:w="1607"/>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Medium</w:t>
            </w:r>
          </w:p>
        </w:tc>
      </w:tr>
      <w:tr>
        <w:trPr>
          <w:cantSplit/>
        </w:trPr>
        <w:tc>
          <w:tcPr>
            <w:tcW w:type="dxa" w:w="4819"/>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6. A person cannot exercise their rights of access or erasure in time.</w:t>
            </w:r>
          </w:p>
        </w:tc>
        <w:tc>
          <w:tcPr>
            <w:tcW w:type="dxa" w:w="1606"/>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Remote</w:t>
            </w:r>
          </w:p>
        </w:tc>
        <w:tc>
          <w:tcPr>
            <w:tcW w:type="dxa" w:w="1606"/>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Significant</w:t>
            </w:r>
          </w:p>
        </w:tc>
        <w:tc>
          <w:tcPr>
            <w:tcW w:type="dxa" w:w="1607"/>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Low</w:t>
            </w:r>
          </w:p>
        </w:tc>
      </w:tr>
      <w:tr>
        <w:trPr>
          <w:cantSplit/>
        </w:trPr>
        <w:tc>
          <w:tcPr>
            <w:tcW w:type="dxa" w:w="4819"/>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7. Loss of availability or data through failure of the hosting.</w:t>
            </w:r>
          </w:p>
        </w:tc>
        <w:tc>
          <w:tcPr>
            <w:tcW w:type="dxa" w:w="1606"/>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Remote</w:t>
            </w:r>
          </w:p>
        </w:tc>
        <w:tc>
          <w:tcPr>
            <w:tcW w:type="dxa" w:w="1606"/>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Significant</w:t>
            </w:r>
          </w:p>
        </w:tc>
        <w:tc>
          <w:tcPr>
            <w:tcW w:type="dxa" w:w="1607"/>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Low</w:t>
            </w:r>
          </w:p>
        </w:tc>
      </w:tr>
      <w:tr>
        <w:trPr>
          <w:cantSplit/>
        </w:trPr>
        <w:tc>
          <w:tcPr>
            <w:tcW w:type="dxa" w:w="4819"/>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8. A person cannot use the assistant because of a disability, or does not realise they are talking to an automated system.</w:t>
            </w:r>
          </w:p>
        </w:tc>
        <w:tc>
          <w:tcPr>
            <w:tcW w:type="dxa" w:w="1606"/>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Possible</w:t>
            </w:r>
          </w:p>
        </w:tc>
        <w:tc>
          <w:tcPr>
            <w:tcW w:type="dxa" w:w="1606"/>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Significant</w:t>
            </w:r>
          </w:p>
        </w:tc>
        <w:tc>
          <w:tcPr>
            <w:tcW w:type="dxa" w:w="1607"/>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Medium</w:t>
            </w:r>
          </w:p>
        </w:tc>
      </w:tr>
      <w:tr>
        <w:trPr>
          <w:cantSplit/>
        </w:trPr>
        <w:tc>
          <w:tcPr>
            <w:tcW w:type="dxa" w:w="4819"/>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9. Someone manipulates the assistant into revealing information or behaving inappropriately (prompt injection, abuse).</w:t>
            </w:r>
          </w:p>
        </w:tc>
        <w:tc>
          <w:tcPr>
            <w:tcW w:type="dxa" w:w="1606"/>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Possible</w:t>
            </w:r>
          </w:p>
        </w:tc>
        <w:tc>
          <w:tcPr>
            <w:tcW w:type="dxa" w:w="1606"/>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Minimal</w:t>
            </w:r>
          </w:p>
        </w:tc>
        <w:tc>
          <w:tcPr>
            <w:tcW w:type="dxa" w:w="1607"/>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Low</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9D3E0" w:sz="4"/>
              <w:left w:val="single" w:color="C9D3E0" w:sz="4"/>
              <w:bottom w:val="single" w:color="C9D3E0" w:sz="4"/>
              <w:right w:val="single" w:color="C9D3E0" w:sz="4"/>
            </w:tcBorders>
            <w:shd w:fill="F7F9FC" w:color="auto" w:val="clear"/>
            <w:tcMar>
              <w:top w:type="dxa" w:w="100"/>
              <w:left w:type="dxa" w:w="120"/>
              <w:bottom w:type="dxa" w:w="500"/>
              <w:right w:type="dxa" w:w="120"/>
            </w:tcMar>
          </w:tcPr>
          <w:p>
            <w:r>
              <w:rPr>
                <w:i/>
                <w:iCs/>
                <w:color w:val="5B6B80"/>
                <w:sz w:val="19"/>
                <w:szCs w:val="19"/>
              </w:rPr>
              <w:t xml:space="preserve">Add risks specific to your organisation, such as a workflow that triages vulnerability, or integration with a system holding sensitive records.</w:t>
            </w:r>
          </w:p>
        </w:tc>
      </w:tr>
    </w:tbl>
    <w:p>
      <w:pPr>
        <w:spacing w:after="120"/>
      </w:pPr>
    </w:p>
    <w:p>
      <w:pPr>
        <w:pStyle w:val="Heading2"/>
        <w:keepNext/>
      </w:pPr>
      <w:r>
        <w:t xml:space="preserve">Step 6: Identify measures to reduce risk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41"/>
        <w:gridCol w:w="5931"/>
        <w:gridCol w:w="1483"/>
        <w:gridCol w:w="1483"/>
      </w:tblGrid>
      <w:tr>
        <w:trPr>
          <w:tblHeader/>
        </w:trPr>
        <w:tc>
          <w:tcPr>
            <w:tcW w:type="dxa" w:w="741"/>
            <w:tcBorders>
              <w:top w:val="single" w:color="C9D3E0" w:sz="4"/>
              <w:left w:val="single" w:color="C9D3E0" w:sz="4"/>
              <w:bottom w:val="single" w:color="C9D3E0" w:sz="4"/>
              <w:right w:val="single" w:color="C9D3E0" w:sz="4"/>
            </w:tcBorders>
            <w:shd w:fill="EEF4FC" w:color="auto" w:val="clear"/>
            <w:tcMar>
              <w:top w:type="dxa" w:w="80"/>
              <w:left w:type="dxa" w:w="110"/>
              <w:bottom w:type="dxa" w:w="80"/>
              <w:right w:type="dxa" w:w="110"/>
            </w:tcMar>
          </w:tcPr>
          <w:p>
            <w:pPr>
              <w:spacing w:after="40"/>
            </w:pPr>
            <w:r>
              <w:rPr>
                <w:b/>
                <w:bCs/>
                <w:sz w:val="19"/>
                <w:szCs w:val="19"/>
              </w:rPr>
              <w:t xml:space="preserve">Risk</w:t>
            </w:r>
          </w:p>
        </w:tc>
        <w:tc>
          <w:tcPr>
            <w:tcW w:type="dxa" w:w="5931"/>
            <w:tcBorders>
              <w:top w:val="single" w:color="C9D3E0" w:sz="4"/>
              <w:left w:val="single" w:color="C9D3E0" w:sz="4"/>
              <w:bottom w:val="single" w:color="C9D3E0" w:sz="4"/>
              <w:right w:val="single" w:color="C9D3E0" w:sz="4"/>
            </w:tcBorders>
            <w:shd w:fill="EEF4FC" w:color="auto" w:val="clear"/>
            <w:tcMar>
              <w:top w:type="dxa" w:w="80"/>
              <w:left w:type="dxa" w:w="110"/>
              <w:bottom w:type="dxa" w:w="80"/>
              <w:right w:type="dxa" w:w="110"/>
            </w:tcMar>
          </w:tcPr>
          <w:p>
            <w:pPr>
              <w:spacing w:after="40"/>
            </w:pPr>
            <w:r>
              <w:rPr>
                <w:b/>
                <w:bCs/>
                <w:sz w:val="19"/>
                <w:szCs w:val="19"/>
              </w:rPr>
              <w:t xml:space="preserve">Measures</w:t>
            </w:r>
          </w:p>
        </w:tc>
        <w:tc>
          <w:tcPr>
            <w:tcW w:type="dxa" w:w="1483"/>
            <w:tcBorders>
              <w:top w:val="single" w:color="C9D3E0" w:sz="4"/>
              <w:left w:val="single" w:color="C9D3E0" w:sz="4"/>
              <w:bottom w:val="single" w:color="C9D3E0" w:sz="4"/>
              <w:right w:val="single" w:color="C9D3E0" w:sz="4"/>
            </w:tcBorders>
            <w:shd w:fill="EEF4FC" w:color="auto" w:val="clear"/>
            <w:tcMar>
              <w:top w:type="dxa" w:w="80"/>
              <w:left w:type="dxa" w:w="110"/>
              <w:bottom w:type="dxa" w:w="80"/>
              <w:right w:type="dxa" w:w="110"/>
            </w:tcMar>
          </w:tcPr>
          <w:p>
            <w:pPr>
              <w:spacing w:after="40"/>
            </w:pPr>
            <w:r>
              <w:rPr>
                <w:b/>
                <w:bCs/>
                <w:sz w:val="19"/>
                <w:szCs w:val="19"/>
              </w:rPr>
              <w:t xml:space="preserve">Effect on risk</w:t>
            </w:r>
          </w:p>
        </w:tc>
        <w:tc>
          <w:tcPr>
            <w:tcW w:type="dxa" w:w="1483"/>
            <w:tcBorders>
              <w:top w:val="single" w:color="C9D3E0" w:sz="4"/>
              <w:left w:val="single" w:color="C9D3E0" w:sz="4"/>
              <w:bottom w:val="single" w:color="C9D3E0" w:sz="4"/>
              <w:right w:val="single" w:color="C9D3E0" w:sz="4"/>
            </w:tcBorders>
            <w:shd w:fill="EEF4FC" w:color="auto" w:val="clear"/>
            <w:tcMar>
              <w:top w:type="dxa" w:w="80"/>
              <w:left w:type="dxa" w:w="110"/>
              <w:bottom w:type="dxa" w:w="80"/>
              <w:right w:type="dxa" w:w="110"/>
            </w:tcMar>
          </w:tcPr>
          <w:p>
            <w:pPr>
              <w:spacing w:after="40"/>
            </w:pPr>
            <w:r>
              <w:rPr>
                <w:b/>
                <w:bCs/>
                <w:sz w:val="19"/>
                <w:szCs w:val="19"/>
              </w:rPr>
              <w:t xml:space="preserve">Residual risk</w:t>
            </w:r>
          </w:p>
        </w:tc>
      </w:tr>
      <w:tr>
        <w:trPr>
          <w:cantSplit/>
        </w:trPr>
        <w:tc>
          <w:tcPr>
            <w:tcW w:type="dxa" w:w="74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1</w:t>
            </w:r>
          </w:p>
        </w:tc>
        <w:tc>
          <w:tcPr>
            <w:tcW w:type="dxa" w:w="593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Answers are written only from your own knowledge; when the answer is not there the assistant says so and offers your contact routes.</w:t>
            </w:r>
          </w:p>
          <w:p>
            <w:pPr>
              <w:spacing w:after="40"/>
            </w:pPr>
            <w:r>
              <w:rPr>
                <w:sz w:val="19"/>
                <w:szCs w:val="19"/>
              </w:rPr>
              <w:t xml:space="preserve">Staff can review conversations and the feedback people give on each answer, and correct the content.</w:t>
            </w:r>
          </w:p>
          <w:p>
            <w:pPr>
              <w:spacing w:after="40"/>
            </w:pPr>
            <w:r>
              <w:rPr>
                <w:sz w:val="19"/>
                <w:szCs w:val="19"/>
              </w:rPr>
              <w:t xml:space="preserve">You: keep content current; set hand-over routes for urgent and safety matters.</w:t>
            </w:r>
          </w:p>
        </w:tc>
        <w:tc>
          <w:tcPr>
            <w:tcW w:type="dxa" w:w="148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Reduced</w:t>
            </w:r>
          </w:p>
        </w:tc>
        <w:tc>
          <w:tcPr>
            <w:tcW w:type="dxa" w:w="148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Low</w:t>
            </w:r>
          </w:p>
        </w:tc>
      </w:tr>
      <w:tr>
        <w:trPr>
          <w:cantSplit/>
        </w:trPr>
        <w:tc>
          <w:tcPr>
            <w:tcW w:type="dxa" w:w="74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2</w:t>
            </w:r>
          </w:p>
        </w:tc>
        <w:tc>
          <w:tcPr>
            <w:tcW w:type="dxa" w:w="593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Optional redaction of stored conversations.</w:t>
            </w:r>
          </w:p>
          <w:p>
            <w:pPr>
              <w:spacing w:after="40"/>
            </w:pPr>
            <w:r>
              <w:rPr>
                <w:sz w:val="19"/>
                <w:szCs w:val="19"/>
              </w:rPr>
              <w:t xml:space="preserve">Retention settings and the daily deletion job.</w:t>
            </w:r>
          </w:p>
          <w:p>
            <w:pPr>
              <w:spacing w:after="40"/>
            </w:pPr>
            <w:r>
              <w:rPr>
                <w:sz w:val="19"/>
                <w:szCs w:val="19"/>
              </w:rPr>
              <w:t xml:space="preserve">Field-level encryption; role-based access.</w:t>
            </w:r>
          </w:p>
          <w:p>
            <w:pPr>
              <w:spacing w:after="40"/>
            </w:pPr>
            <w:r>
              <w:rPr>
                <w:sz w:val="19"/>
                <w:szCs w:val="19"/>
              </w:rPr>
              <w:t xml:space="preserve">You: add a notice asking people not to share health details unless needed; set short conversation retention.</w:t>
            </w:r>
          </w:p>
        </w:tc>
        <w:tc>
          <w:tcPr>
            <w:tcW w:type="dxa" w:w="148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Reduced</w:t>
            </w:r>
          </w:p>
        </w:tc>
        <w:tc>
          <w:tcPr>
            <w:tcW w:type="dxa" w:w="148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Low</w:t>
            </w:r>
          </w:p>
        </w:tc>
      </w:tr>
      <w:tr>
        <w:trPr>
          <w:cantSplit/>
        </w:trPr>
        <w:tc>
          <w:tcPr>
            <w:tcW w:type="dxa" w:w="74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3</w:t>
            </w:r>
          </w:p>
        </w:tc>
        <w:tc>
          <w:tcPr>
            <w:tcW w:type="dxa" w:w="593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Every organisation's data is separated by an organisation identifier on every query. Automated tests try to read one organisation's records from another's session on every change, and fail the build if they can.</w:t>
            </w:r>
          </w:p>
          <w:p>
            <w:pPr>
              <w:spacing w:after="40"/>
            </w:pPr>
            <w:r>
              <w:rPr>
                <w:sz w:val="19"/>
                <w:szCs w:val="19"/>
              </w:rPr>
              <w:t xml:space="preserve">Every endpoint must declare who may call it; a test walks the whole application and fails the build if one does not.</w:t>
            </w:r>
          </w:p>
          <w:p>
            <w:pPr>
              <w:spacing w:after="40"/>
            </w:pPr>
            <w:r>
              <w:rPr>
                <w:sz w:val="19"/>
                <w:szCs w:val="19"/>
              </w:rPr>
              <w:t xml:space="preserve">Staff sign-in uses salted bcrypt password hashes, multi-factor authentication with an authenticator app, and account lockout after repeated failures. Organisations can require multi-factor authentication for all their staff and agents; it is always required for our own administrators.</w:t>
            </w:r>
          </w:p>
          <w:p>
            <w:pPr>
              <w:spacing w:after="40"/>
            </w:pPr>
            <w:r>
              <w:rPr>
                <w:sz w:val="19"/>
                <w:szCs w:val="19"/>
              </w:rPr>
              <w:t xml:space="preserve">Agent desktops can sign in through your own identity provider, so your joiners and leavers process applies.</w:t>
            </w:r>
          </w:p>
          <w:p>
            <w:pPr>
              <w:spacing w:after="40"/>
            </w:pPr>
            <w:r>
              <w:rPr>
                <w:sz w:val="19"/>
                <w:szCs w:val="19"/>
              </w:rPr>
              <w:t xml:space="preserve">You decide which customer details agents and suppliers see: each item in your data dictionary is marked visible to agents or not, and editable by them or not. Fields that are not visible are never sent to the agent desktop or the supplier portal.</w:t>
            </w:r>
          </w:p>
          <w:p>
            <w:pPr>
              <w:spacing w:after="40"/>
            </w:pPr>
            <w:r>
              <w:rPr>
                <w:sz w:val="19"/>
                <w:szCs w:val="19"/>
              </w:rPr>
              <w:t xml:space="preserve">Sign-in, conversation and upload endpoints are rate limited.</w:t>
            </w:r>
          </w:p>
          <w:p>
            <w:pPr>
              <w:spacing w:after="40"/>
            </w:pPr>
            <w:r>
              <w:rPr>
                <w:sz w:val="19"/>
                <w:szCs w:val="19"/>
              </w:rPr>
              <w:t xml:space="preserve">The chat widget's public key can only start customer conversations. It cannot reach staff functions or other customers' records.</w:t>
            </w:r>
          </w:p>
          <w:p>
            <w:pPr>
              <w:spacing w:after="40"/>
            </w:pPr>
            <w:r>
              <w:rPr>
                <w:sz w:val="19"/>
                <w:szCs w:val="19"/>
              </w:rPr>
              <w:t xml:space="preserve">All traffic to the service is HTTPS, TLS 1.2 or 1.3 only; plain HTTP redirects to HTTPS and browsers are told to insist on it (HSTS, two years).</w:t>
            </w:r>
          </w:p>
          <w:p>
            <w:pPr>
              <w:spacing w:after="40"/>
            </w:pPr>
            <w:r>
              <w:rPr>
                <w:sz w:val="19"/>
                <w:szCs w:val="19"/>
              </w:rPr>
              <w:t xml:space="preserve">Storage volumes, database files and backups are encrypted at rest with AES-256 (AWS-managed keys).</w:t>
            </w:r>
          </w:p>
          <w:p>
            <w:pPr>
              <w:spacing w:after="40"/>
            </w:pPr>
            <w:r>
              <w:rPr>
                <w:sz w:val="19"/>
                <w:szCs w:val="19"/>
              </w:rPr>
              <w:t xml:space="preserve">Conversation text, case details, customer records, contact details and their change history are also encrypted field by field in the database with AES-256-GCM, so a copy of the database alone does not reveal them.</w:t>
            </w:r>
          </w:p>
        </w:tc>
        <w:tc>
          <w:tcPr>
            <w:tcW w:type="dxa" w:w="148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Reduced</w:t>
            </w:r>
          </w:p>
        </w:tc>
        <w:tc>
          <w:tcPr>
            <w:tcW w:type="dxa" w:w="148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Low</w:t>
            </w:r>
          </w:p>
        </w:tc>
      </w:tr>
      <w:tr>
        <w:trPr>
          <w:cantSplit/>
        </w:trPr>
        <w:tc>
          <w:tcPr>
            <w:tcW w:type="dxa" w:w="74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4</w:t>
            </w:r>
          </w:p>
        </w:tc>
        <w:tc>
          <w:tcPr>
            <w:tcW w:type="dxa" w:w="593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OpenAI does not use data sent through its API to train or improve its models.</w:t>
            </w:r>
          </w:p>
          <w:p>
            <w:pPr>
              <w:spacing w:after="40"/>
            </w:pPr>
            <w:r>
              <w:rPr>
                <w:sz w:val="19"/>
                <w:szCs w:val="19"/>
              </w:rPr>
              <w:t xml:space="preserve">OpenAI keeps API requests in abuse-monitoring logs for up to 30 days, unless the law requires longer.</w:t>
            </w:r>
          </w:p>
          <w:p>
            <w:pPr>
              <w:spacing w:after="40"/>
            </w:pPr>
            <w:r>
              <w:rPr>
                <w:sz w:val="19"/>
                <w:szCs w:val="19"/>
              </w:rPr>
              <w:t xml:space="preserve">Syntalyze uses the Chat Completions API, which stores no conversation state at OpenAI.</w:t>
            </w:r>
          </w:p>
          <w:p>
            <w:pPr>
              <w:spacing w:after="40"/>
            </w:pPr>
            <w:r>
              <w:rPr>
                <w:sz w:val="19"/>
                <w:szCs w:val="19"/>
              </w:rPr>
              <w:t xml:space="preserve">The transfer to the United States is made under the UK International Data Transfer Addendum, as part of our data processing agreement with OpenAI.</w:t>
            </w:r>
          </w:p>
          <w:p>
            <w:pPr>
              <w:spacing w:after="40"/>
            </w:pPr>
            <w:r>
              <w:rPr>
                <w:sz w:val="19"/>
                <w:szCs w:val="19"/>
              </w:rPr>
              <w:t xml:space="preserve">Only the text needed for the answer is sent; your database is never sent as a whole.</w:t>
            </w:r>
          </w:p>
        </w:tc>
        <w:tc>
          <w:tcPr>
            <w:tcW w:type="dxa" w:w="148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Reduced</w:t>
            </w:r>
          </w:p>
        </w:tc>
        <w:tc>
          <w:tcPr>
            <w:tcW w:type="dxa" w:w="148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Low</w:t>
            </w:r>
          </w:p>
        </w:tc>
      </w:tr>
      <w:tr>
        <w:trPr>
          <w:cantSplit/>
        </w:trPr>
        <w:tc>
          <w:tcPr>
            <w:tcW w:type="dxa" w:w="74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5</w:t>
            </w:r>
          </w:p>
        </w:tc>
        <w:tc>
          <w:tcPr>
            <w:tcW w:type="dxa" w:w="593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Retention settings per data type with automatic deletion.</w:t>
            </w:r>
          </w:p>
          <w:p>
            <w:pPr>
              <w:spacing w:after="40"/>
            </w:pPr>
            <w:r>
              <w:rPr>
                <w:sz w:val="19"/>
                <w:szCs w:val="19"/>
              </w:rPr>
              <w:t xml:space="preserve">Permanent deletion at contract end; backups expire within 35 days.</w:t>
            </w:r>
          </w:p>
        </w:tc>
        <w:tc>
          <w:tcPr>
            <w:tcW w:type="dxa" w:w="148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Eliminated if settings are used</w:t>
            </w:r>
          </w:p>
        </w:tc>
        <w:tc>
          <w:tcPr>
            <w:tcW w:type="dxa" w:w="148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Low</w:t>
            </w:r>
          </w:p>
        </w:tc>
      </w:tr>
      <w:tr>
        <w:trPr>
          <w:cantSplit/>
        </w:trPr>
        <w:tc>
          <w:tcPr>
            <w:tcW w:type="dxa" w:w="74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6</w:t>
            </w:r>
          </w:p>
        </w:tc>
        <w:tc>
          <w:tcPr>
            <w:tcW w:type="dxa" w:w="593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Find, export and erase tools in the client portal.</w:t>
            </w:r>
          </w:p>
          <w:p>
            <w:pPr>
              <w:spacing w:after="40"/>
            </w:pPr>
            <w:r>
              <w:rPr>
                <w:sz w:val="19"/>
                <w:szCs w:val="19"/>
              </w:rPr>
              <w:t xml:space="preserve">Supplier help within five working days under the DPA.</w:t>
            </w:r>
          </w:p>
        </w:tc>
        <w:tc>
          <w:tcPr>
            <w:tcW w:type="dxa" w:w="148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Reduced</w:t>
            </w:r>
          </w:p>
        </w:tc>
        <w:tc>
          <w:tcPr>
            <w:tcW w:type="dxa" w:w="148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Low</w:t>
            </w:r>
          </w:p>
        </w:tc>
      </w:tr>
      <w:tr>
        <w:trPr>
          <w:cantSplit/>
        </w:trPr>
        <w:tc>
          <w:tcPr>
            <w:tcW w:type="dxa" w:w="74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7</w:t>
            </w:r>
          </w:p>
        </w:tc>
        <w:tc>
          <w:tcPr>
            <w:tcW w:type="dxa" w:w="593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Daily backups of the whole server, kept for 35 days, plus a nightly database export, all within your hosting region.</w:t>
            </w:r>
          </w:p>
          <w:p>
            <w:pPr>
              <w:spacing w:after="40"/>
            </w:pPr>
            <w:r>
              <w:rPr>
                <w:sz w:val="19"/>
                <w:szCs w:val="19"/>
              </w:rPr>
              <w:t xml:space="preserve">Each backup is encrypted and held in a separate AWS Backup vault.</w:t>
            </w:r>
          </w:p>
        </w:tc>
        <w:tc>
          <w:tcPr>
            <w:tcW w:type="dxa" w:w="148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Reduced</w:t>
            </w:r>
          </w:p>
        </w:tc>
        <w:tc>
          <w:tcPr>
            <w:tcW w:type="dxa" w:w="148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Low</w:t>
            </w:r>
          </w:p>
        </w:tc>
      </w:tr>
      <w:tr>
        <w:trPr>
          <w:cantSplit/>
        </w:trPr>
        <w:tc>
          <w:tcPr>
            <w:tcW w:type="dxa" w:w="74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8</w:t>
            </w:r>
          </w:p>
        </w:tc>
        <w:tc>
          <w:tcPr>
            <w:tcW w:type="dxa" w:w="593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Widget designed and tested to WCAG 2.2 AA, with a published accessibility statement.</w:t>
            </w:r>
          </w:p>
          <w:p>
            <w:pPr>
              <w:spacing w:after="40"/>
            </w:pPr>
            <w:r>
              <w:rPr>
                <w:sz w:val="19"/>
                <w:szCs w:val="19"/>
              </w:rPr>
              <w:t xml:space="preserve">Automated-assistant notice shown for the whole conversation.</w:t>
            </w:r>
          </w:p>
          <w:p>
            <w:pPr>
              <w:spacing w:after="40"/>
            </w:pPr>
            <w:r>
              <w:rPr>
                <w:sz w:val="19"/>
                <w:szCs w:val="19"/>
              </w:rPr>
              <w:t xml:space="preserve">You: keep phone, email and face-to-face routes available, and link them from the assistant.</w:t>
            </w:r>
          </w:p>
        </w:tc>
        <w:tc>
          <w:tcPr>
            <w:tcW w:type="dxa" w:w="148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Reduced</w:t>
            </w:r>
          </w:p>
        </w:tc>
        <w:tc>
          <w:tcPr>
            <w:tcW w:type="dxa" w:w="148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Low</w:t>
            </w:r>
          </w:p>
        </w:tc>
      </w:tr>
      <w:tr>
        <w:trPr>
          <w:cantSplit/>
        </w:trPr>
        <w:tc>
          <w:tcPr>
            <w:tcW w:type="dxa" w:w="74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9</w:t>
            </w:r>
          </w:p>
        </w:tc>
        <w:tc>
          <w:tcPr>
            <w:tcW w:type="dxa" w:w="593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The assistant answers only from your knowledge and cannot reach staff functions or other people's records.</w:t>
            </w:r>
          </w:p>
          <w:p>
            <w:pPr>
              <w:spacing w:after="40"/>
            </w:pPr>
            <w:r>
              <w:rPr>
                <w:sz w:val="19"/>
                <w:szCs w:val="19"/>
              </w:rPr>
              <w:t xml:space="preserve">Moderation of inputs; rate limiting.</w:t>
            </w:r>
          </w:p>
        </w:tc>
        <w:tc>
          <w:tcPr>
            <w:tcW w:type="dxa" w:w="148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Reduced</w:t>
            </w:r>
          </w:p>
        </w:tc>
        <w:tc>
          <w:tcPr>
            <w:tcW w:type="dxa" w:w="148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Low</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C9D3E0" w:sz="4"/>
              <w:left w:val="single" w:color="C9D3E0" w:sz="4"/>
              <w:bottom w:val="single" w:color="C9D3E0" w:sz="4"/>
              <w:right w:val="single" w:color="C9D3E0" w:sz="4"/>
            </w:tcBorders>
            <w:shd w:fill="F7F9FC" w:color="auto" w:val="clear"/>
            <w:tcMar>
              <w:top w:type="dxa" w:w="100"/>
              <w:left w:type="dxa" w:w="120"/>
              <w:bottom w:type="dxa" w:w="500"/>
              <w:right w:type="dxa" w:w="120"/>
            </w:tcMar>
          </w:tcPr>
          <w:p>
            <w:r>
              <w:rPr>
                <w:i/>
                <w:iCs/>
                <w:color w:val="5B6B80"/>
                <w:sz w:val="19"/>
                <w:szCs w:val="19"/>
              </w:rPr>
              <w:t xml:space="preserve">Record which measures you approve, any you add, and who is responsible for each.</w:t>
            </w:r>
          </w:p>
        </w:tc>
      </w:tr>
    </w:tbl>
    <w:p>
      <w:pPr>
        <w:spacing w:after="120"/>
      </w:pPr>
    </w:p>
    <w:p>
      <w:pPr>
        <w:pStyle w:val="Heading2"/>
        <w:keepNext/>
      </w:pPr>
      <w:r>
        <w:t xml:space="preserve">Step 7: Sign off and record outcomes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11"/>
        <w:gridCol w:w="2811"/>
        <w:gridCol w:w="4016"/>
      </w:tblGrid>
      <w:tr>
        <w:trPr>
          <w:tblHeader/>
        </w:trPr>
        <w:tc>
          <w:tcPr>
            <w:tcW w:type="dxa" w:w="2811"/>
            <w:tcBorders>
              <w:top w:val="single" w:color="C9D3E0" w:sz="4"/>
              <w:left w:val="single" w:color="C9D3E0" w:sz="4"/>
              <w:bottom w:val="single" w:color="C9D3E0" w:sz="4"/>
              <w:right w:val="single" w:color="C9D3E0" w:sz="4"/>
            </w:tcBorders>
            <w:shd w:fill="EEF4FC" w:color="auto" w:val="clear"/>
            <w:tcMar>
              <w:top w:type="dxa" w:w="80"/>
              <w:left w:type="dxa" w:w="110"/>
              <w:bottom w:type="dxa" w:w="80"/>
              <w:right w:type="dxa" w:w="110"/>
            </w:tcMar>
          </w:tcPr>
          <w:p>
            <w:pPr>
              <w:spacing w:after="40"/>
            </w:pPr>
            <w:r>
              <w:rPr>
                <w:b/>
                <w:bCs/>
                <w:sz w:val="19"/>
                <w:szCs w:val="19"/>
              </w:rPr>
              <w:t xml:space="preserve">Item</w:t>
            </w:r>
          </w:p>
        </w:tc>
        <w:tc>
          <w:tcPr>
            <w:tcW w:type="dxa" w:w="2811"/>
            <w:tcBorders>
              <w:top w:val="single" w:color="C9D3E0" w:sz="4"/>
              <w:left w:val="single" w:color="C9D3E0" w:sz="4"/>
              <w:bottom w:val="single" w:color="C9D3E0" w:sz="4"/>
              <w:right w:val="single" w:color="C9D3E0" w:sz="4"/>
            </w:tcBorders>
            <w:shd w:fill="EEF4FC" w:color="auto" w:val="clear"/>
            <w:tcMar>
              <w:top w:type="dxa" w:w="80"/>
              <w:left w:type="dxa" w:w="110"/>
              <w:bottom w:type="dxa" w:w="80"/>
              <w:right w:type="dxa" w:w="110"/>
            </w:tcMar>
          </w:tcPr>
          <w:p>
            <w:pPr>
              <w:spacing w:after="40"/>
            </w:pPr>
            <w:r>
              <w:rPr>
                <w:b/>
                <w:bCs/>
                <w:sz w:val="19"/>
                <w:szCs w:val="19"/>
              </w:rPr>
              <w:t xml:space="preserve">Name and date</w:t>
            </w:r>
          </w:p>
        </w:tc>
        <w:tc>
          <w:tcPr>
            <w:tcW w:type="dxa" w:w="4016"/>
            <w:tcBorders>
              <w:top w:val="single" w:color="C9D3E0" w:sz="4"/>
              <w:left w:val="single" w:color="C9D3E0" w:sz="4"/>
              <w:bottom w:val="single" w:color="C9D3E0" w:sz="4"/>
              <w:right w:val="single" w:color="C9D3E0" w:sz="4"/>
            </w:tcBorders>
            <w:shd w:fill="EEF4FC" w:color="auto" w:val="clear"/>
            <w:tcMar>
              <w:top w:type="dxa" w:w="80"/>
              <w:left w:type="dxa" w:w="110"/>
              <w:bottom w:type="dxa" w:w="80"/>
              <w:right w:type="dxa" w:w="110"/>
            </w:tcMar>
          </w:tcPr>
          <w:p>
            <w:pPr>
              <w:spacing w:after="40"/>
            </w:pPr>
            <w:r>
              <w:rPr>
                <w:b/>
                <w:bCs/>
                <w:sz w:val="19"/>
                <w:szCs w:val="19"/>
              </w:rPr>
              <w:t xml:space="preserve">Notes</w:t>
            </w:r>
          </w:p>
        </w:tc>
      </w:tr>
      <w:tr>
        <w:trPr>
          <w:cantSplit/>
        </w:trPr>
        <w:tc>
          <w:tcPr>
            <w:tcW w:type="dxa" w:w="281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Measures approved by</w:t>
            </w:r>
          </w:p>
        </w:tc>
        <w:tc>
          <w:tcPr>
            <w:tcW w:type="dxa" w:w="281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p>
        </w:tc>
        <w:tc>
          <w:tcPr>
            <w:tcW w:type="dxa" w:w="4016"/>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Integrate actions back into the project plan, with dates and owners.</w:t>
            </w:r>
          </w:p>
        </w:tc>
      </w:tr>
      <w:tr>
        <w:trPr>
          <w:cantSplit/>
        </w:trPr>
        <w:tc>
          <w:tcPr>
            <w:tcW w:type="dxa" w:w="281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Residual risks approved by</w:t>
            </w:r>
          </w:p>
        </w:tc>
        <w:tc>
          <w:tcPr>
            <w:tcW w:type="dxa" w:w="281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p>
        </w:tc>
        <w:tc>
          <w:tcPr>
            <w:tcW w:type="dxa" w:w="4016"/>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If you accept any residual high risk, consult the ICO before going ahead.</w:t>
            </w:r>
          </w:p>
        </w:tc>
      </w:tr>
      <w:tr>
        <w:trPr>
          <w:cantSplit/>
        </w:trPr>
        <w:tc>
          <w:tcPr>
            <w:tcW w:type="dxa" w:w="281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DPO advice provided</w:t>
            </w:r>
          </w:p>
        </w:tc>
        <w:tc>
          <w:tcPr>
            <w:tcW w:type="dxa" w:w="281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p>
        </w:tc>
        <w:tc>
          <w:tcPr>
            <w:tcW w:type="dxa" w:w="4016"/>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The DPO should advise on compliance, the Step 6 measures and whether processing can proceed.</w:t>
            </w:r>
          </w:p>
        </w:tc>
      </w:tr>
      <w:tr>
        <w:trPr>
          <w:cantSplit/>
        </w:trPr>
        <w:tc>
          <w:tcPr>
            <w:tcW w:type="dxa" w:w="281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DPO advice accepted or overruled by</w:t>
            </w:r>
          </w:p>
        </w:tc>
        <w:tc>
          <w:tcPr>
            <w:tcW w:type="dxa" w:w="281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p>
        </w:tc>
        <w:tc>
          <w:tcPr>
            <w:tcW w:type="dxa" w:w="4016"/>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If overruled, you must explain your reasons.</w:t>
            </w:r>
          </w:p>
        </w:tc>
      </w:tr>
      <w:tr>
        <w:trPr>
          <w:cantSplit/>
        </w:trPr>
        <w:tc>
          <w:tcPr>
            <w:tcW w:type="dxa" w:w="281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Consultation responses reviewed by</w:t>
            </w:r>
          </w:p>
        </w:tc>
        <w:tc>
          <w:tcPr>
            <w:tcW w:type="dxa" w:w="281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p>
        </w:tc>
        <w:tc>
          <w:tcPr>
            <w:tcW w:type="dxa" w:w="4016"/>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If your decision departs from people's views, you must explain your reasons.</w:t>
            </w:r>
          </w:p>
        </w:tc>
      </w:tr>
      <w:tr>
        <w:trPr>
          <w:cantSplit/>
        </w:trPr>
        <w:tc>
          <w:tcPr>
            <w:tcW w:type="dxa" w:w="281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This DPIA will be kept under review by</w:t>
            </w:r>
          </w:p>
        </w:tc>
        <w:tc>
          <w:tcPr>
            <w:tcW w:type="dxa" w:w="281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p>
        </w:tc>
        <w:tc>
          <w:tcPr>
            <w:tcW w:type="dxa" w:w="4016"/>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The DPO should also review ongoing compliance with the DPIA.</w:t>
            </w:r>
          </w:p>
        </w:tc>
      </w:tr>
    </w:tbl>
    <w:p>
      <w:pPr>
        <w:spacing w:after="120"/>
      </w:pPr>
    </w:p>
    <w:sectPr>
      <w:headerReference w:type="default" r:id="rId6"/>
      <w:footerReference w:type="default" r:id="rId7"/>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B80"/>
        <w:sz w:val="16"/>
        <w:szCs w:val="16"/>
      </w:rPr>
      <w:t xml:space="preserve">MG12 Design · Syntalyze DPIA template · Page </w:t>
    </w:r>
    <w:r>
      <w:rPr>
        <w:color w:val="5B6B80"/>
        <w:sz w:val="16"/>
        <w:szCs w:val="16"/>
      </w:rPr>
      <w:fldChar w:fldCharType="begin"/>
    </w:r>
    <w:r>
      <w:rPr>
        <w:color w:val="5B6B80"/>
        <w:sz w:val="16"/>
        <w:szCs w:val="16"/>
      </w:rPr>
      <w:instrText xml:space="preserve">PAGE</w:instrText>
    </w:r>
    <w:r>
      <w:rPr>
        <w:color w:val="5B6B80"/>
        <w:sz w:val="16"/>
        <w:szCs w:val="16"/>
      </w:rPr>
      <w:fldChar w:fldCharType="separate"/>
    </w:r>
    <w:r>
      <w:rPr>
        <w:color w:val="5B6B80"/>
        <w:sz w:val="16"/>
        <w:szCs w:val="16"/>
      </w:rPr>
      <w:fldChar w:fldCharType="end"/>
    </w:r>
    <w:r>
      <w:rPr>
        <w:color w:val="5B6B80"/>
        <w:sz w:val="16"/>
        <w:szCs w:val="16"/>
      </w:rPr>
      <w:t xml:space="preserve"> of </w:t>
    </w:r>
    <w:r>
      <w:rPr>
        <w:color w:val="5B6B80"/>
        <w:sz w:val="16"/>
        <w:szCs w:val="16"/>
      </w:rPr>
      <w:fldChar w:fldCharType="begin"/>
    </w:r>
    <w:r>
      <w:rPr>
        <w:color w:val="5B6B80"/>
        <w:sz w:val="16"/>
        <w:szCs w:val="16"/>
      </w:rPr>
      <w:instrText xml:space="preserve">NUMPAGES</w:instrText>
    </w:r>
    <w:r>
      <w:rPr>
        <w:color w:val="5B6B80"/>
        <w:sz w:val="16"/>
        <w:szCs w:val="16"/>
      </w:rPr>
      <w:fldChar w:fldCharType="separate"/>
    </w:r>
    <w:r>
      <w:rPr>
        <w:color w:val="5B6B80"/>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B6B80"/>
        <w:sz w:val="16"/>
        <w:szCs w:val="16"/>
      </w:rPr>
      <w:t xml:space="preserve">Data protection impact assessment · Version 1.0, October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2433"/>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spacing w:after="160" w:before="360"/>
      <w:outlineLvl w:val="0"/>
    </w:pPr>
    <w:rPr>
      <w:rFonts w:ascii="Arial" w:cs="Arial" w:eastAsia="Arial" w:hAnsi="Arial"/>
      <w:b/>
      <w:bCs/>
      <w:color w:val="1A2433"/>
      <w:sz w:val="34"/>
      <w:szCs w:val="34"/>
    </w:rPr>
  </w:style>
  <w:style w:type="paragraph" w:styleId="Heading2">
    <w:name w:val="Heading 2"/>
    <w:basedOn w:val="Normal"/>
    <w:next w:val="Normal"/>
    <w:qFormat/>
    <w:pPr>
      <w:spacing w:after="120" w:before="300"/>
      <w:outlineLvl w:val="1"/>
    </w:pPr>
    <w:rPr>
      <w:rFonts w:ascii="Arial" w:cs="Arial" w:eastAsia="Arial" w:hAnsi="Arial"/>
      <w:b/>
      <w:bCs/>
      <w:color w:val="1B63D6"/>
      <w:sz w:val="26"/>
      <w:szCs w:val="26"/>
    </w:rPr>
  </w:style>
  <w:style w:type="paragraph" w:styleId="Heading3">
    <w:name w:val="Heading 3"/>
    <w:basedOn w:val="Normal"/>
    <w:next w:val="Normal"/>
    <w:qFormat/>
    <w:pPr>
      <w:spacing w:after="100" w:before="220"/>
      <w:outlineLvl w:val="2"/>
    </w:pPr>
    <w:rPr>
      <w:rFonts w:ascii="Arial" w:cs="Arial" w:eastAsia="Arial" w:hAnsi="Arial"/>
      <w:b/>
      <w:bCs/>
      <w:color w:val="1A2433"/>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protection impact assessment</dc:title>
  <dc:creator>MG12 Design</dc:creator>
  <dc:description>Template for an organisation adopting Syntalyze, following the ICO's seven steps, with the supplier's side completed</dc:description>
  <cp:lastModifiedBy>Un-named</cp:lastModifiedBy>
  <cp:revision>1</cp:revision>
  <dcterms:created xsi:type="dcterms:W3CDTF">2026-11-01T08:53:12.849Z</dcterms:created>
  <dcterms:modified xsi:type="dcterms:W3CDTF">2026-11-01T08:53:12.849Z</dcterms:modified>
</cp:coreProperties>
</file>

<file path=docProps/custom.xml><?xml version="1.0" encoding="utf-8"?>
<Properties xmlns="http://schemas.openxmlformats.org/officeDocument/2006/custom-properties" xmlns:vt="http://schemas.openxmlformats.org/officeDocument/2006/docPropsVTypes"/>
</file>